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C-2707/2008 vom 8. November 2010</w:t>
      </w:r>
    </w:p>
    <w:p>
      <w:r>
        <w:t>Bundesverwaltungsgericht, 2010-11-08, DE</w:t>
      </w:r>
    </w:p>
    <w:p>
      <w:r>
        <w:rPr>
          <w:b/>
        </w:rPr>
        <w:t xml:space="preserve">Quelle: </w:t>
      </w:r>
      <w:r>
        <w:t>https://mcp.opencaselaw.ch/entscheid/bvger_C-2707_2008</w:t>
      </w:r>
    </w:p>
    <w:p>
      <w:r>
        <w:t>FR: TAF C-2707/2008 du 8 novembre 2010</w:t>
      </w:r>
    </w:p>
    <w:p>
      <w:r>
        <w:t>IT: TAF C-2707/2008 del 8 novembre 2010</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1.1</w:t>
      </w:r>
    </w:p>
    <w:p>
      <w:r>
        <w:t>Der Beschwerdeführer ist durch die angefochtene Verfügung berührt und hat ein schutzwürdiges Interesse an deren Aufhebung oder Änderung, so dass er im Sinne von Art. 59 ATSG (vgl. auch Art. 48 VwVG) beschwerdelegitimiert ist.</w:t>
      </w:r>
    </w:p>
    <w:p>
      <w:r>
        <w:rPr>
          <w:b/>
        </w:rPr>
        <w:t>E. 1.2</w:t>
      </w:r>
    </w:p>
    <w:p>
      <w:r>
        <w:t>Da die Beschwerde im Übrigen frist- und formgerecht (Art. 60 Abs. 1 ATSG und Art. 52 Abs. 1 VwVG) eingereicht wurde, ist auf die Beschwerde einzutreten.</w:t>
      </w:r>
    </w:p>
    <w:p>
      <w:r>
        <w:rPr>
          <w:b/>
        </w:rPr>
        <w:t>E. 2</w:t>
      </w:r>
    </w:p>
    <w:p>
      <w:r>
        <w:t>Nach dem Zerfall der Föderativen Volksrepublik Jugoslawien blieben zunächst die Bestimmungen des Abkommens vom 8. Juni 1962 zwischen der Schweizerischen Eidgenossenschaft und der Föderativen Volksrepublik Jugoslawien über Sozialversicherung (SR 0.831.109. 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Mit dem Kosovo wird das Sozialversicherungsabkommen mit Jugoslawien seit dem 1. April 2010 nicht mehr weitergeführt. Für den Beschwerdeführer als Bürger des Kosovos findet demnach das schweizerisch-jugoslawische Sozialversicherungsabkommen vom 8. Juni 1962 insoweit Anwendung, als Sachverhalte zu beurteilen sind, die sich vor dem 1. April 2010 ereignet haben (vgl. unten E. 3.2).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2.1</w:t>
      </w:r>
    </w:p>
    <w:p>
      <w:r>
        <w:t>Vorliegend kommen keine abweichenden staatsvertraglichen Bestimmungen zur Anwendung, so dass sich der allfällige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 bestimmt.</w:t>
      </w:r>
    </w:p>
    <w:p>
      <w:r>
        <w:rPr>
          <w:b/>
        </w:rPr>
        <w:t>E. 3</w:t>
      </w:r>
    </w:p>
    <w:p>
      <w:r>
        <w:t>Zunächst sind die für die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August 2006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3.3</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3.4</w:t>
      </w:r>
    </w:p>
    <w:p>
      <w:r>
        <w:t>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Besteht - wie vorliegend - aufgrund des ausländischen Wohnsitzes kein Anspruch auf die Ausrichtung einer Viertelsrente (vgl. E. 3.6 hiernach), so ist zumindest eine 50%-ige Arbeitsunfähigkeit bzw. Invalidität vorausgesetzt (BGE 121 V 264 E. 6c).</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2 IVG [5. IV-Revision] respektive Art. 28 Abs. 1 IVG [4.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w:t>
      </w:r>
    </w:p>
    <w:p>
      <w:r>
        <w:rPr>
          <w:b/>
        </w:rPr>
        <w:t>E. 3.7</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3.7.2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I 268/2005 des Bundesgerichts [BGer] vom 26. Januar 2006 E. 1.2 mit Hinweis auf BGE 125 V 352 E. 3a).</w:t>
      </w:r>
    </w:p>
    <w:p>
      <w:r>
        <w:rPr>
          <w:b/>
        </w:rPr>
        <w:t>E. 3.8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w:t>
      </w:r>
    </w:p>
    <w:p>
      <w:r>
        <w:t>Im Folgenden ist zu prüfen, ob die Vorinstanz zu Recht das Vorliegen einer ausreichenden durchschnittlichen Einbusse der Arbeitsfähigkeit in der bisherigen wie auch einer angepassten Tätigkeit verneint und daher das Leistungsbegehren des Beschwerdeführers abgewiesen hat.</w:t>
      </w:r>
    </w:p>
    <w:p>
      <w:r>
        <w:rPr>
          <w:b/>
        </w:rPr>
        <w:t>E. 4.1</w:t>
      </w:r>
    </w:p>
    <w:p>
      <w:r>
        <w:t>Der Beschwerdeführer macht hauptsächlich geltend, seit seinem Herzinfarkt im Jahre 2005 könne er aufgrund seines Gesundheitszustandes keiner Erwerbstätigkeit mehr nachgehen. Weiter leide er an erhöhtem Blutdruck und Depressionen. Zum Nachweis seiner gesundheitlichen Einschränkungen reichte er verschiedene ärztliche Atteste und medizinische Untersuchungsergebnisse ein (vgl. IV-Akten act. 20 bis 41 und 48 bis 60, sowie die Beschwerdebeilagen und Beilagen zur Eingabe vom 27. September 2008).</w:t>
      </w:r>
    </w:p>
    <w:p>
      <w:r>
        <w:rPr>
          <w:b/>
        </w:rPr>
        <w:t>E. 4.2</w:t>
      </w:r>
    </w:p>
    <w:p>
      <w:r>
        <w:t>Für die IVSTA beurteilte Dr. E._______, medizinischer Dienst erstmals am 27. Dezember 2007 die eingereichten Berichte. Sie hielt dazu fest, aus den Unterlagen gehe hervor, dass der Beschwerdeführer seit 2003 an Hypertonie, Dyslipidämie leide, es bestehe der Verdacht auf eine coronare Herzkrankheit (CHK). Am 11. Juli 2005 habe er einen akuten Myokardinfarkt erlitten, worauf ihm ein Stent eingesetzt worden sei. Die Untersuchungen zeigten eine gute Ventrik. Die Auswurfsfraktion liege bei 74% im Echo, was eine gute kardiale Funktion zeige. In der bisherigen Tätigkeit als Landwirt sei er seit dem 11. Juli 2005 zu 30% eingeschränkt; in einer dem Leiden angepassten Verweistätigkeit bestehe dagegen keine Einschränkung (IV-Akten act. 43). Am 26. März 2008 nahm Dr. E._______ erneut Stellung und würdigte die zwischenzeitlich eingereichten zusätzlichen medizinischen Unterlagen. Sie führte aus, es zeige sich keine Änderung des Gesundheitszustand, die linksventrikuläre Funktion sei gut (IV-Akten act. 62).</w:t>
      </w:r>
    </w:p>
    <w:p>
      <w:r>
        <w:rPr>
          <w:b/>
        </w:rPr>
        <w:t>E. 4.3</w:t>
      </w:r>
    </w:p>
    <w:p>
      <w:r>
        <w:t>Aufgrund der vorliegenden Berichte besteht kein Anlass an der nachvollziehbaren, in Kenntnis aller aktenkundiger Arztberichte erfolgten Einschätzung des Gesundheitszustandes und der Arbeitsfähigkeit von Dr. E._______ zu zweifeln. Hypertonie und Dislipidämie sind grundsätzlich keine Leiden, die geeignet sind eine andauernde Arbeitsunfähigkeit zu begründen. Aus den vorliegenden Ergebnisse der bildgebenden Untersuchungen schliesst Dr. E._______, dass sich der Beschwerdeführer gut von seinem Infarkt erholt hat und die Herzfunktionen in einem unproblematischen Bereich liegen. Die weiteren Körperfunktionen werden in den Arztberichten als weitgehend unauffällig beschrieben (vgl. IV-Akten act. 56). Die geltend gemachte Depression wird erstmals in den im Beschwerdeverfahren eingereichten Attesten von Dr. H._______, Neuropsychiater, vom 1. Februar, 11. April und 11. November 2008 erwähnt. Diese enthalten jedoch keinen Hinweis darauf, dass ein psychiatrisches Leiden in invalidisierendem Ausmass vorliegen könnte. Der Beschwerdeführer hat zwar ausgeführt, er leide seit dem Herzinfarkt an Antriebsstörungen, fühle sich sehr müde und habe Angst, er könnte an einem Herzinfarkt sterben (IV-Akten act. 8 und 13). Eine depressive Störung in Folge eines Herzinfarktes, der durchaus Todesängste auszulösen vermag, stellt aber keinen Gesundheitsschaden dar, der eine bleibende oder längere Zeit dauernde Erwerbsunfähigkeit und damit eine Invalidität im Sinne von Art. 4 Abs. 1 IVG auszulösen vermag. Entscheidend ist die nach einem weitgehend objektivierten Massstab zu erfolgende Beurteilung, ob und inwiefern dem Versicherten - trotz seines Leidens - die Verwertung seiner Restarbeitsfähigkeit auf dem ihm nach seinen Fähigkeiten offen stehenden ausgeglichenen Arbeitsmarkt noch sozial-praktisch zuzumuten und dies für die Gesellschaft tragbar ist (BGE 127 V 294 E. 4, 102 V 165; AHI 1996 S. 303 E. 2a und ZAK 1992 S. 170 E. 2a mit Hinweisen). Vorliegend bestehen keine Hinweise darauf, dass der Beschwerdeführer bei Aufbietung allen guten Willens die depressive Störung nicht überwinden könnte. Aufgrund der Akten ist mit überwiegender Wahrscheinlichkeit erstellt, dass keine andauernde Arbeitsunfähigkeit von durchschnittlich mindestens 50% während eines Jahres bestand.</w:t>
      </w:r>
    </w:p>
    <w:p>
      <w:r>
        <w:rPr>
          <w:b/>
        </w:rPr>
        <w:t>E. 4.4</w:t>
      </w:r>
    </w:p>
    <w:p>
      <w:r>
        <w:t>Aufgrund der klaren medizinischen Situation erübrigt sich die Vornahme weiterer Abklärungen. Der Beschwerdeführer hat keinen Anspruch auf eine Invalidenrente, da er im Zeitpunkt des Erlasses der angefochtenen Verfügung nicht während eines Jahres mindestens durchschnittlich zu 50% arbeitsunfähig gewesen ist (vgl. E. 3.4 hiervor). Bei einer Einschränkung von lediglich 30% in der angestammten Tätigkeit und einer 100%-igen Arbeitsfähigkeit in einer angepassten Verweistätigkeit erübrigt sich vorliegend die Durchführung eines Einkommenvergleichs.</w:t>
      </w:r>
    </w:p>
    <w:p>
      <w:r>
        <w:rPr>
          <w:b/>
        </w:rPr>
        <w:t>E. 5</w:t>
      </w:r>
    </w:p>
    <w:p>
      <w:r>
        <w:t>Der Vorinstanz ist allerdings beizupflichten, wenn sie in ihrer Vernehmlassung geltend macht, dass die Restarbeitsfähigkeit lediglich unter dem Gesichtswinkel des in Betracht kommenden ausgeglichenen Arbeitsmarktes zu prüfen ist. Entgegen der Ansicht des Beschwerdeführers ist nicht darauf abzustellen, ob er unter den konkreten Arbeitsmarktverhältnissen im Kosovo vermittelt werden kann, sondern einzig darauf, ob er die ihm verbliebene Arbeitskraft noch wirtschaftliche nutzen könnte, wenn die verfügbaren Arbeitsplätze dem Angebot an Arbeitskräften entsprechen würden. Die Invalidenversicherung hat nicht dafür einzustehen, wenn invaliditätsfremde Gründe wie das Alter oder eine ungünstige Arbeitsmarktlage die Verwertung der Restarbeitsfähigkeit erschweren oder gar verunmöglichen (vgl. BGE 110 V 273 E. 4)</w:t>
      </w:r>
    </w:p>
    <w:p>
      <w:r>
        <w:rPr>
          <w:b/>
        </w:rPr>
        <w:t>E. 6</w:t>
      </w:r>
    </w:p>
    <w:p>
      <w:r>
        <w:t>Zu befinden bleibt noch über die Verfahrenskosten und eine allfällige Parteientschädigung.</w:t>
      </w:r>
    </w:p>
    <w:p>
      <w:r>
        <w:rPr>
          <w:b/>
        </w:rPr>
        <w:t>E. 6.1</w:t>
      </w:r>
    </w:p>
    <w:p>
      <w:r>
        <w:t>Als unterliegende Partei hat der Beschwerdeführer grundsätzlich die Verfahrenskosten zu tragen, die auf Fr. 300.- bestimmt werden (Art. 63 Abs. 1 VwVG, Art. 2 und 3 des Reglements vom 21. Februar 2008 über die Kosten und Entschädigung vor dem Bundesverwaltungsgericht [VGKE, SR 173.320.2]). Während des vorliegenden Verfahrens hat er indes ein Gesuch um unentgeltliche Prozessführung gestellt, über das noch zu entscheiden ist. Aus der Begründung des Gesuchs geht hervor, dass der nicht anwaltlich vertretene Beschwerdeführer lediglich den Erlass der Verfahrenskosten verlangt.</w:t>
      </w:r>
    </w:p>
    <w:p>
      <w:r>
        <w:rPr>
          <w:b/>
        </w:rPr>
        <w:t>E. 6.1.1</w:t>
      </w:r>
    </w:p>
    <w:p>
      <w:r>
        <w:t>Gemäss Art. 65 Abs. 1 VwVG kann eine Partei, die nicht über die erforderlichen Mittel verfügt und deren Begehren nicht als aussichtslos erscheint, auf Antrag von der Bezahlung der Verfahrenskosten befreit werden.</w:t>
      </w:r>
    </w:p>
    <w:p>
      <w:r>
        <w:rPr>
          <w:b/>
        </w:rPr>
        <w:t>E. 6.1.2</w:t>
      </w:r>
    </w:p>
    <w:p>
      <w:r>
        <w:t>Eine Person ist bedürftig, wenn sie nicht in der Lage ist, für die Prozesskosten aufzukommen, ohne dass sie Mittel beanspruchen müsste, die zur Deckung des Grundbedarfs für sie und ihre Familie notwendig sind (BGE 127 I 202 E. 3b). Aufgrund der vorgelegten Unterlagen und der Akten ist die Bedürftigkeit des Beschwerdeführers offensichtlich. Er ist ohne Beeinträchtigung der für seinen Unterhalt erforderlichen finanziellen Mittel nicht in der Lage, die Prozesskosten zu bestreiten.</w:t>
      </w:r>
    </w:p>
    <w:p>
      <w:r>
        <w:rPr>
          <w:b/>
        </w:rPr>
        <w:t>E. 6.1.3</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 wenn auch nur knapp - nicht als aussichtslos bezeichnet werden.</w:t>
      </w:r>
    </w:p>
    <w:p>
      <w:r>
        <w:rPr>
          <w:b/>
        </w:rPr>
        <w:t>E. 6.1.4</w:t>
      </w:r>
    </w:p>
    <w:p>
      <w:r>
        <w:t>Das Gesuch des Beschwerdeführers um unentgeltliche Rechtspflege (Art. 65 Abs. 1 VwVG) ist daher gutzuheissen, und es sind keine Verfahrenskosten zu erheben.</w:t>
      </w:r>
    </w:p>
    <w:p>
      <w:r>
        <w:rPr>
          <w:b/>
        </w:rPr>
        <w:t>E. 6.2</w:t>
      </w:r>
    </w:p>
    <w:p>
      <w:r>
        <w:t>Weder dem Beschwerdeführer noch der Vorinstanz ist eine Parteientschädigung zuzusprechen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