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C-2695/2014 vom 10. Juni 2016</w:t>
      </w:r>
    </w:p>
    <w:p>
      <w:r>
        <w:t>Bundesverwaltungsgericht, 2016-06-10, FR</w:t>
      </w:r>
    </w:p>
    <w:p>
      <w:r>
        <w:rPr>
          <w:b/>
        </w:rPr>
        <w:t xml:space="preserve">Quelle: </w:t>
      </w:r>
      <w:r>
        <w:t>https://mcp.opencaselaw.ch/entscheid/bvger_C-2695_2014</w:t>
      </w:r>
    </w:p>
    <w:p>
      <w:r>
        <w:t>FR: TAF C-2695/2014 du 10 juin 2016</w:t>
      </w:r>
    </w:p>
    <w:p>
      <w:r>
        <w:t>IT: TAF C-2695/2014 del 10 giugno 2016</w:t>
      </w:r>
    </w:p>
    <w:p>
      <w:pPr>
        <w:pStyle w:val="Heading2"/>
      </w:pPr>
      <w:r>
        <w:t>Regeste</w:t>
      </w:r>
    </w:p>
    <w:p>
      <w:r>
        <w:t>suite à la dissolution de la famille</w:t>
      </w:r>
    </w:p>
    <w:p>
      <w:pPr>
        <w:pStyle w:val="Heading2"/>
      </w:pPr>
      <w:r>
        <w:t>Erwägungen</w:t>
      </w:r>
    </w:p>
    <w:p>
      <w:r>
        <w:rPr>
          <w:b/>
        </w:rPr>
        <w:t>E. 10</w:t>
      </w:r>
    </w:p>
    <w:p>
      <w:r>
        <w:t>Le dossier ne fait par ailleurs par apparaître d'autres éléments pouvant constituer des raisons personnelles majeures au sens de l'art. 50 al. 1 let. b LEtr ou de l'art. 31 al. 1 OASA.</w:t>
      </w:r>
    </w:p>
    <w:p>
      <w:r>
        <w:rPr>
          <w:b/>
        </w:rPr>
        <w:t>E. 10.1</w:t>
      </w:r>
    </w:p>
    <w:p>
      <w:r>
        <w:t>S'agissant des possibilités de réintégration du recourant dans son pays d'origine, il convient tout au plus de relever que l'intéressé, qui est encore jeune et en bonne santé, a passé les premiers trente-cinq ans de son existence et ainsi toute son enfance ainsi que son adolescence et le début de sa vie d'adulte en Tunisie. Le Tribunal ne saurait admettre que ces années soient moins déterminantes pour la formation de la personnalité et, partant, pour l'intégration socioculturelle, que le séjour du recourant en Suisse. Il n'est en effet pas concevable que ce pays lui soit devenu à ce point étranger qu'il ne serait plus en mesure, après une période de réadaptation, d'y retrouver ses repères. En outre, au vu des pièces du dossier, le recourant dispose d'un réseau familial susceptible de faciliter sa réintégration en Tunisie (cf. le rapport du Service de protection des mineurs du 29 octobre 2013 pt. 2.2 p. 3). A._______ a par ailleurs effectué un séjour temporaire d'une durée de plusieurs semaines dans son pays d'origine en août 2013 (cf. la demande de visa de retour du 11 juillet 2013). Partant, le Tribunal estime que malgré les liens que le recourant s'est créés durant son séjour en Suisse et la présence de sa fille dans ce pays, sa réintégration en Tunisie ne saurait être considérée comme fortement compromise.</w:t>
      </w:r>
    </w:p>
    <w:p>
      <w:r>
        <w:rPr>
          <w:b/>
        </w:rPr>
        <w:t>E. 10.2</w:t>
      </w:r>
    </w:p>
    <w:p>
      <w:r>
        <w:t>Quant aux éléments non encore examinés à prendre en considération conformément à l'art. 31 al. 1 OASA, il sied de rappeler que compte tenu de l'absence de situation professionnelle stable malgré la durée de son séjour en Suisse, des dettes importantes qu'il a contractées durant son séjour sur le sol helvétique et de la condamnation et des rapports de police dont il a fait l'objet, on ne saurait retenir que le recourant a fait preuve d'une intégration poussée en Suisse. En outre, A._______ ne s'est pas créé en Suisse des attaches professionnelles ou sociales à ce point profondes et durables qu'un retour dans son pays d'origine ne puisse être exigé. Enfin, eu égard aux éléments exposés au consid. 9 ci-avant, la présence de sa fille n'est pas susceptible de justifier, à elle seule, la reconnaissance d'un cas de rigueur. Compte tenu de ce qui précède et des possibilités de réintégration du recourant en Tunisie (cf. le consid. 10.1 supra), le Tribunal estime que la situation de l'intéressé n'est pas constitutive d'une situation d'extrême gravité.</w:t>
      </w:r>
    </w:p>
    <w:p>
      <w:r>
        <w:rPr>
          <w:b/>
        </w:rPr>
        <w:t>E. 11</w:t>
      </w:r>
    </w:p>
    <w:p>
      <w:r>
        <w:t>En considération de ce qui précède, le Tribunal est amené à conclure que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12</w:t>
      </w:r>
    </w:p>
    <w:p>
      <w:r>
        <w:t>Dans la mesure où A._______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Tunisie et le dossier ne fait pas non plus apparaître que l'exécution de ce renvoi serait impossible, illicite ou inexigible au sens de l'art. 83 al. 2 à 4 LEtr.</w:t>
      </w:r>
    </w:p>
    <w:p>
      <w:r>
        <w:rPr>
          <w:b/>
        </w:rPr>
        <w:t>E. 13</w:t>
      </w:r>
    </w:p>
    <w:p>
      <w:r>
        <w:t>Il ressort de ce qui précède que, par sa décision du 28 mars 2014,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