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C-2683/2011 vom 18. August 2011</w:t>
      </w:r>
    </w:p>
    <w:p>
      <w:r>
        <w:t>Bundesverwaltungsgericht, 2011-08-18, DE</w:t>
      </w:r>
    </w:p>
    <w:p>
      <w:r>
        <w:rPr>
          <w:b/>
        </w:rPr>
        <w:t xml:space="preserve">Quelle: </w:t>
      </w:r>
      <w:r>
        <w:t>https://mcp.opencaselaw.ch/entscheid/bvger_C-2683_2011</w:t>
      </w:r>
    </w:p>
    <w:p>
      <w:r>
        <w:t>FR: TAF C-2683/2011 du 18 août 2011</w:t>
      </w:r>
    </w:p>
    <w:p>
      <w:r>
        <w:t>IT: TAF C-2683/2011 del 18 agosto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BGVE 2007/41 E. 2 und Urteil des Bundesverwaltungsgerichts A-2682/2007 vom 7. Oktober 2010 E. 1.2 und 1.3; BGE 135 II 369 E 3.3).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AuG).</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2 Bst. c SGK).</w:t>
      </w:r>
    </w:p>
    <w:p>
      <w:r>
        <w:rPr>
          <w:b/>
        </w:rPr>
        <w:t>E. 5.4</w:t>
      </w:r>
    </w:p>
    <w:p>
      <w:r>
        <w:t>Gemäss Anhang I zur Verordnung (EG) Nr. 539/2001 des Rates vom 15. März 2001 (Abl. L 81 vom 21.03.2001, S. 1-7) unterliegt der Gesuchsteller als marokkanischer Staatsangehöriger Visumspflicht.</w:t>
      </w:r>
    </w:p>
    <w:p>
      <w:r>
        <w:rPr>
          <w:b/>
        </w:rPr>
        <w:t>E. 6.1</w:t>
      </w:r>
    </w:p>
    <w:p>
      <w:r>
        <w:t>Die Vorinstanz verweigerte die Erteilung eines Visums an den Gesuchsteller mit der Begründung, dessen fristgerechte Wiederausreise erscheine nicht gesichert. Dabei bezog sie sich im Wesentlichen auf die schwierige Situation im Herkunftsland sowie den allgemeinen und persönlichen Hintergrund des Gesuchstellers.</w:t>
      </w:r>
    </w:p>
    <w:p>
      <w:r>
        <w:rPr>
          <w:b/>
        </w:rPr>
        <w:t>E. 6.2</w:t>
      </w:r>
    </w:p>
    <w:p>
      <w:r>
        <w:t>Bei der Prüfung des Kriteriums der gesicherten Wiederausreise muss ein zukünftiges Verhalten beurteilt werden. Dazu lassen sich in der Regel keine gesicherten Feststellungen, sondern lediglich Voraussagen machen, wobei sämtliche Umstände des konkreten Einzelfalles zu würdigen sind.</w:t>
      </w:r>
    </w:p>
    <w:p>
      <w:r>
        <w:rPr>
          <w:b/>
        </w:rPr>
        <w:t>E. 6.3</w:t>
      </w:r>
    </w:p>
    <w:p>
      <w:r>
        <w:t>Anhaltspunkte zur Beurteilung der fristgerechten Wiederausreise können sich aus der allgemeinen Situation im Herkunftsland der gesuchstellenden Person ergeben. Insbesondere können Einreisegesuche von Personen aus Staaten bzw. Regionen mit politisch oder wirtschaftlich vergleichsweise ungünstigen Verhältnissen darauf hindeuten, dass deren persönliche Interessenlage nicht mit dem Ziel und Zweck eines zeitlich befristeten Besuchs in Einklang steht.</w:t>
      </w:r>
    </w:p>
    <w:p>
      <w:r>
        <w:rPr>
          <w:b/>
        </w:rPr>
        <w:t>E. 6.4</w:t>
      </w:r>
    </w:p>
    <w:p>
      <w:r>
        <w:t>In diesem Zusammenhang ist die schwierige wirtschaftliche und soziale Lage der gesamten Bevölkerung Marokkos zu berücksichtigen. Diese wies 2010 ein Pro-Kopf BIP von Euro 2030 (aktuell CHF 2'316) auf. Obschon sich die aktuelle Regierung die Bekämpfung der Armut durch dauerhaftes hohes Wirtschaftswachstum und Schaffung neuer Arbeitsplätze zum Ziel gesetzt und entsprechende Reformen eingeleitet hat, ist das derzeitige volatile Wirtschaftswachstum nicht ausreichend, um den Anteil der armen Bevölkerung dauerhaft zu senken. Die hohe Arbeitslosenrate von 9,1% hat schwergewichtig bei der jungen urbanen sowie der diplomierten Bevölkerung einen alarmierenden Wert von 32% erreicht. Schliesslich ist seit 2009 ein Rückgang der wirtschaftlichen Tätigkeit zu verzeichnen. Dieser manifestiert sich vorwiegend im sekundären und tertiären Sektor (Produktion und Dienstleistungen) (Quelle: www.diplomatie.gouv.fr/en/ &gt; France Diplomatie &gt; Pays zones géo &gt; Maroc &gt; Présentation &gt; Donées génerales [Stand 15. Juni 2011, besucht: August 2011]; www.auswaertiges-amt.de, &gt; Länder- und Reiseinformationen &gt; Marokko &gt; Wirtschaft [Stand April 2011, besucht: August 2011]). Diese schwierigen wirtschaftlichen Verhältnisse üben einen bedeutenden Migrationsdruck, insbesondere auf die jüngere Bevölkerung aus. Der Trend zeigt sich erfahrungsgemäss dort besonders stark, wo durch die Anwesenheit von Verwandten oder Bekannten bereits ein minimales soziales Beziehungsnetz im Ausland besteht. Dies führt nicht selten zur Umgehung ausländerrechtlicher Bestimmungen.</w:t>
      </w:r>
    </w:p>
    <w:p>
      <w:r>
        <w:rPr>
          <w:b/>
        </w:rPr>
        <w:t>E. 6.5</w:t>
      </w:r>
    </w:p>
    <w:p>
      <w:r>
        <w:t>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(Verwandte, Freunde)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w:t>
      </w:r>
    </w:p>
    <w:p>
      <w:r>
        <w:rPr>
          <w:b/>
        </w:rPr>
        <w:t>E. 6.6</w:t>
      </w:r>
    </w:p>
    <w:p>
      <w:r>
        <w:t>Bei der Risikoanalyse sind jedoch nicht nur die erwähnten allgemeinen Umstände und Erfahrungen, sondern auch sämtliche Gesichtspunkte des konkreten Einzelfalles zu berücksichtigen. Obliegt einer gesuchstellenden Peron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Der Gesuchsteller ist 23 Jahre alt, ledig, kinderlos und lebt in M'Hamid. Zu den familiären Verhältnissen wurden von den Beteiligten weder im Gesuchverfahren noch auf Beschwerdeebene nähere Angaben gemacht. Bekannt ist lediglich, dass der Gesuchsteller mit seiner Mutter, einem Bruder und zwei Schwestern bei einem Onkel lebt. Daraus kann jedoch nicht geschlossen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Auch die Tatsache, dass der Gesuchsteller arbeitslos ist, lässt auf das Fehlen einer starken Verwurzelung schliessen. Dies umso mehr, als dass keine Belege vorliegen, welche zuverlässige Rückschlüsse auf die allgemeinen wirtschaftlichen Verhältnisse, in denen der Eingeladene lebt sowie auf das Bestehen finanzieller Ressourcen zulassen. Aufgrund der bestehenden Akten kann jedenfalls nicht davon ausgegangen werden, er befinde sich in einer vorteilhaften oder stabilen wirtschaftlichen Situation, die das Risiko einer nicht fristgerechten Ausreise nach einem Besuchsaufenthalt in der Schweiz entscheidend herabsetzen könnte.</w:t>
      </w:r>
    </w:p>
    <w:p>
      <w:r>
        <w:rPr>
          <w:b/>
        </w:rPr>
        <w:t>E. 7.3</w:t>
      </w:r>
    </w:p>
    <w:p>
      <w:r>
        <w:t>Weiter wird die Absicht bekundet, ein Tourismusbüro im Heimatstaat eröffnen zu wollen. Durch den Besuch der Schweiz könne der Gesuchsteller einen besseren Umgang mit den Touristen bekommen. Es wird nicht bestritten, dass der Besuch eines fremden Landes für die Tätigkeit im Tourismusgeschäft hilfreich sein kann. Vielmehr wird an der Ernsthaftigkeit dieses Vorhabens gezweifelt. Es wurden keinerlei Belege eingereicht, welche das Vorhaben konkretisiert hätten. Fraglich ist auch dessen Finanzierung. Ausgehend von den wirtschaftlichen Verhältnissen des Gesuchstellers wird deutlich, dass er ohne Drittunterstützung nicht in der Lage ist, den Aufbau eines Tourismusbüros zu verwirklichen. Die gesamten Umstände sind unklar und hinterlassen erhebliche Zweifel an den Absichten des Gesuchstellers. Im Übrigen ist es jedoch den Beteiligten überlassen sowie auch zumutbar, ihr Vorhaben vorderhand anderweitig zu verwirklichen, ein Besuchsaufenthalt lässt sich daher gestützt auf dieses Argument nicht rechtfertigen.</w:t>
      </w:r>
    </w:p>
    <w:p>
      <w:r>
        <w:rPr>
          <w:b/>
        </w:rPr>
        <w:t>E. 7.4</w:t>
      </w:r>
    </w:p>
    <w:p>
      <w:r>
        <w:t>Der Gesuchsteller hat bereits im Jahre 2008 ein Einreisegesuch zwecks Besuchsaufenthalt gestellt. Damals wollte er eine in Lausanne wohnhafte Frau besuchen, welche angeblich eine Beziehung mit ihm unterhielt. Gemäss den Umständen erschien die Wiederausreise als nicht genügend gesichert, weshalb das Gesuch abgelehnt wurde. Entsprechend dem damaligen Sachverhalt und den aktuell ähnlichen Umständen bestehen heute - nicht zuletzt auch, weil dies bereits das zweite Gesuch innerhalb kurzer Zeit ist - dieselben Bedenken und Unsicherheiten hinsichtlich des Aufenthaltszwecks sowie der gesicherten Wiederausreise.</w:t>
      </w:r>
    </w:p>
    <w:p>
      <w:r>
        <w:rPr>
          <w:b/>
        </w:rPr>
        <w:t>E. 8</w:t>
      </w:r>
    </w:p>
    <w:p>
      <w:r>
        <w:t>Gestützt auf die vorstehenden Erwägungen durfte die Vorinstanz zu Recht davon ausgehen, die Wiederausreise des Gesuchstellers sei im Sinne der massgeblichen Bestimmungen nicht gesichert. An dieser Einschätzung vermag auch die Tatsache nichts zu ändern, dass die Beschwerdeführerin wiederholt die rechtzeitige Rückkehr des Eingeladenen zugesichert hat. Die Integrität der Beschwerdeführerin wird denn auch in keiner Weise in Zweifel gezogen. An dieser Beurteilung vermögen selbst die von der Beschwerdeführerin abgegebenen Zusicherungen nichts zu ändern. Als Gastgeberin kann sie - wie dies in casu mit der Unterzeichnung der Unterhaltsgarantie am 21. März 2011 geschehen ist - zwar für gewisse finanzielle Risiken (Lebenshaltungskosten während des Besuchsaufenthaltes, allfällige Kosten für Unfall und Krankheit sowie Rückreisekosten) Garantie leisten, nicht aber - mangels rechtlicher und faktischer Durchsetzbarkeit - für ein bestimmtes Verhalten des Gastes (vgl. BVGE 2009/27 E. 9). In diesem Zusammenhang bleibt festzustellen, dass die Beschwerdeführerin den Eingeladenen erst seit April 2010 von ihrem Ferienaufenthalt in Marokko kennt. Bei dieser Sachlage wird selbst die Beschwerdeführerin gewisse Vorbehalte anbringen müssen, wenn es darum geht, mögliche Entwicklungen in den Wünschen und Vorstellungen des (deutlich jüngeren) Gesuchstellers betreffend seiner kurz- und mittelfristigen Lebensgestaltung einschätzen zu können. 9.Aus den dargelegten Gründen ist daher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 10.Bei diesem Ausgang des Verfahrens ist die unterliegende Beschwerdeführerin kostenpflichtig (Art. 63 Abs. 1 VwVG i.V.m. Art. 1, 2 und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