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C-2681/2010 vom 6. Mai 2011</w:t>
      </w:r>
    </w:p>
    <w:p>
      <w:r>
        <w:t>Bundesverwaltungsgericht, 2011-05-06, DE</w:t>
      </w:r>
    </w:p>
    <w:p>
      <w:r>
        <w:rPr>
          <w:b/>
        </w:rPr>
        <w:t xml:space="preserve">Quelle: </w:t>
      </w:r>
      <w:r>
        <w:t>https://mcp.opencaselaw.ch/entscheid/bvger_C-2681_2010</w:t>
      </w:r>
    </w:p>
    <w:p>
      <w:r>
        <w:t>FR: TAF C-2681/2010 du 6 mai 2011</w:t>
      </w:r>
    </w:p>
    <w:p>
      <w:r>
        <w:t>IT: TAF C-2681/2010 del 6 maggio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einzutreten, soweit sie durch die Löschung der Ausschreibung des Einreiseverbots im SIS nicht gegenstandslos geworden ist (vgl.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2007/41 E. 2 und Urteil des Bundesverwaltungsgerichts A-2682/2007 vom 7. Oktober 2010 E. 1.2 und 1.3).</w:t>
      </w:r>
    </w:p>
    <w:p>
      <w:r>
        <w:rPr>
          <w:b/>
        </w:rPr>
        <w:t>E. 3.1</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zum Teil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5. Aufl., Zürich/Basel/Genf/St. Gallen 2006, Rz. 337 ff. sowie BVGE 2009/3 E. 3.2)</w:t>
      </w:r>
    </w:p>
    <w:p>
      <w:r>
        <w:rPr>
          <w:b/>
        </w:rPr>
        <w:t>E. 3.2</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(bezogen auf die Situation des Beschwerdeführers siehe allerdings E. 5.1 - 5.3 weiter unten).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 Wie sich dem Sachverhalt entnehmen lässt, hat die Vorinstanz die SIS-Ausschreibung im konkreten Fall in der Zwischenzeit revoziert.</w:t>
      </w:r>
    </w:p>
    <w:p>
      <w:r>
        <w:rPr>
          <w:b/>
        </w:rPr>
        <w:t>E. 4</w:t>
      </w:r>
    </w:p>
    <w:p>
      <w:r>
        <w:t>Der Beschwerdeführer rügt in formeller Hinsicht eine Verletzung des rechtlichen Gehörs, indem ihm keine Möglichkeit eingeräumt worden sei, sich vorgängig zum Einreiseverbot zu äussern. Überdies sei seine Stellungnahme vom 30. März 2010, die er in Voraussicht der zu erwartenden Fernhaltemassnahme verfasst habe, beim Erlass der angefochtenen Verfügung nicht berücksichtigt worden. Die Differenz zwischen Verfügungsdatum (29. März 2010) und Zustelldatum (7. April 2010) lasse vermuten, dass die Stellungnahme bewusst ignoriert und die Verfügung rückdatiert worden sei.</w:t>
      </w:r>
    </w:p>
    <w:p>
      <w:r>
        <w:rPr>
          <w:b/>
        </w:rPr>
        <w:t>E. 4.1</w:t>
      </w:r>
    </w:p>
    <w:p>
      <w:r>
        <w:t>Der Anspruch auf rechtliches Gehör, wie ihn Lehre und Rechtsprechung aus Artikel 29 Abs. 2 der Schweizerischen Bundesverfassung vom 18. April 1999 (BV, SR 102) ableiten und wie er sich für das Bundesverwaltungsverfahren aus den Art. 29 ff. VwVG ergibt, umfasst eine Anzahl verschiedener verfassungsrechtlicher Verfahrensgarantien (vgl. aus der Literatur etwa Häfelin/Müller/Uhlmann, a.a.O, S. 360 ff.; Alfred Kölz/Isabelle Häner, Verwaltungsverfahren und Verwaltungsrechtspflege des Bundes, 2. Aufl., Zürich 1998, S. 46, 107 ff.; Markus Schefer, Grundrechte in der Schweiz, Bern 2005, S. 285 ff.). Dazu gehört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2007/21 E. 10.2).</w:t>
      </w:r>
    </w:p>
    <w:p>
      <w:r>
        <w:rPr>
          <w:b/>
        </w:rPr>
        <w:t>E. 4.2</w:t>
      </w:r>
    </w:p>
    <w:p>
      <w:r>
        <w:t>Aus den Akten ergibt sich, dass das Ausländeramt des Kantons St. Gallen dem Beschwerdeführer am 21. Mai 2008 im Zusammenhang mit dem Verfahren um Widerruf seiner Niederlassungsbewilligung Gelegenheit gab, sich zu einer allfälligen Verhängung eines Einreiseverbots zu äussern, wovon er am 20. Juni 2008 Gebrauch machte. Weil es dann bis zum 23. Februar 2010 dauerte (Urteil des Bundesgerichts), bis dieses Verfahren rechtskräftig abgeschlossen werden konnte, erliess die Vorinstanz das Einreiseverbot erst am 29. März 2010, ohne dem Beschwerdeführer nochmals das rechtliche Gehör zu gewähren. Inzwischen hatte sich die persönliche Situation des Beschwerdeführers insofern geändert, als er aufgrund einer Heirat ein Aufenthaltsrecht in Slowenien erworben hat. In ihrer Vernehmlassung vom 29. April 2010 wies die Vorinstanz darauf hin, dass keine Publikation des Einreiseverbots im Schengener Informationssystem (SIS) erfolgt wäre, wenn sie davon gewusst hätte.</w:t>
      </w:r>
    </w:p>
    <w:p>
      <w:r>
        <w:rPr>
          <w:b/>
        </w:rPr>
        <w:t>E. 4.3</w:t>
      </w:r>
    </w:p>
    <w:p>
      <w:r>
        <w:t>Das verfassungsmässige Recht, angehört zu werden, ist formeller Natur. Die Verletzung dieses Rechts führt - ungeachtet der Erfolgsaussichten der Beschwerde in der Sache selbst - grundsätzlich zur Aufhebung der angefochtenen Verfügung (vgl. BGVE 2009/61 E. 4.1.3 mit Hinweisen; Bernhard Waldmann/Jürg Bickel in: Bernhard Waldmann/Philippe Weissenberger, Praxiskommentar VwVG, Art. 29 N 28 f. und N 106 f.). Die Gehörsverletzung ist aber nach ständiger Praxis des Bundesgerichts ausnahmsweise einer Heilung zugänglich, wenn die betroffene Partei die Möglichkeit hat, sich vor einer Beschwerdeinstanz zu äussern, vorausgesetzt diese Instanz ist befugt zur freien Prüfung aller Sachverhalts- und Rechtsfragen, welche der unteren Instanz hätten unterbreitet werden können. Von der Rückweisung der Sache an die Verwaltung zur Gewährung des rechtlichen Gehörs kann in solchen Fällen nach dem Grundsatz der Verfahrensökonomie dann abgesehen werden, wenn die Rückweisung zu einem formalistischen Leerlauf und damit zu einer unnötigen Verlängerung des Verfahrens führen würde. Diese Heilungsmöglichkeit ist unbestritten, wenn es um nicht besonders schwerwiegende Verletzung von Parteirechten geht. Nach der neueren Rechtsprechung kann eine Heilung aber auch dann erfolgen, wenn schwerwiegende Verfahrensmängel das rechtliche Gehör beeinträchtigt haben und eine Rückweisung der Interessen der Partei an einer beförderlichen Behandlung zuwiderlaufen würde (BGE 133 I 201 E. 2.2 S. 204 f.; BGE 132 V 387 E. 5.1 S. 390; vgl. auch Waldmann/Bickel, a.a.O., Art. 29 N 116 sowie N 125 ff., Lorenz Kneubühler, Gehörsverletzung und Heilung, Zbl. 1998 S. 116, kritisch Patrick Sutter in: Christoph Auer/Markus Müller/Benjamin Schindler, Kommentar zum Bundesgesetz über das Verwaltungsverfahren [VwVG], Zürich/St. Gallen 2008, Art. 29 Rz. 21).</w:t>
      </w:r>
    </w:p>
    <w:p>
      <w:r>
        <w:rPr>
          <w:b/>
        </w:rPr>
        <w:t>E. 4.4</w:t>
      </w:r>
    </w:p>
    <w:p>
      <w:r>
        <w:t>Das Bundesverwaltungsgericht verfügt im vorliegenden Verfahren über die gleiche Kognition wie die Vorinstanz und ist zur freien Prüfung aller Sachverhalts- und Rechtsfragen befugt; eine der Voraussetzungen für die (ausnahmsweise) Heilung der Gehörsverletzung ist somit gegeben. Auch würde eine Rückweisung an die Vorinstanz zu einem formalistischen Leerlauf führen, da sie ihre Verfügung bereits angepasst hat (Revozierung der SIS-Ausschreibung aufgrund des Aufenthaltsrechts des Beschwerdeführers in Slowenien). Hinzu kommt, dass nicht von einer schwerwiegenden Verletzung des rechtlichen Gehörs auszugehen ist. Der Beschwerdeführer wusste, dass er mit einem Einreiseverbot rechnen musste, und konnte sich dazu auch äussern. Dass ihm das rechtliche Gehör damals nicht durch die verfügende Behörde selbst und in einem anderen Verfahren gewährt wurde, ist nicht von Belang (vgl. Bernhard Waldmann/Jürg Bickel, a.a.O., Art. 30 N 16 und N 34, Urteil des Bundesverwaltungsgerichts C-6455/2009 vom 2. Februar 2010 E. 4.1 mit Hinweisen). Im Übrigen ergeben sich keine Hinweise aus den Akten, dass die Vorinstanz die Stellungnahme des Beschwerdeführers vom 30. März 2010 absichtlich nicht beachtet und ihre Verfügung rückdatiert hat (vgl. die handschriftliche Notiz des BFM auf der eingegangenen Stellungnahme: "gekreuzt mit Verfügung vom 29.3.10"). Unzutreffend ist schliesslich auch der Einwand des Beschwerdeführers in seiner Replik, dass seine Stellungnahme vom 20. Juni 2008 nicht in den Akten der Vorinstanz zu finden bzw. nicht vom kantonalen Ausländeramt an die Vorinstanz überwiesen worden sei. Auf jeden Fall befindet sich eine Kopie dieser Stellungnahme bei den dem Bundesverwaltungsgericht von der Vorinstanz zur Verfügung gestellten Akten.</w:t>
      </w:r>
    </w:p>
    <w:p>
      <w:r>
        <w:rPr>
          <w:b/>
        </w:rPr>
        <w:t>E. 4.5</w:t>
      </w:r>
    </w:p>
    <w:p>
      <w:r>
        <w:t>Demnach ist festzuhalten, dass die fehlende Möglichkeit des Beschwerdeführers, sich unmittelbar vor Erlass des Einreiseverbots nochmals zu äussern, zwar zu einer Verletzung seines Gehörsanspruchs geführt hat, diese Verletzung jedoch im vorliegenden Rechtsmittelverfahren als geheilt betrachtet werden kann.</w:t>
      </w:r>
    </w:p>
    <w:p>
      <w:r>
        <w:rPr>
          <w:b/>
        </w:rPr>
        <w:t>E. 5.1</w:t>
      </w:r>
    </w:p>
    <w:p>
      <w:r>
        <w:t>Das in Art. 67 AuG geregelte Einreiseverbot entspricht der alt­rechtlichen Einreisesperre des Art. 13 ANAG.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in fine), weswegen sich für den Beschwerdeführer im Ergebnis nichts ändert (Urteil des Bundesverwaltungsgerichts C-820/2009 vom 9. März 2011 E. 5.1 mit Hinweis).</w:t>
      </w:r>
    </w:p>
    <w:p>
      <w:r>
        <w:rPr>
          <w:b/>
        </w:rPr>
        <w:t>E. 5.2</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w:t>
      </w:r>
    </w:p>
    <w:p>
      <w:r>
        <w:rPr>
          <w:b/>
        </w:rPr>
        <w:t>E. 5.3</w:t>
      </w:r>
    </w:p>
    <w:p>
      <w:r>
        <w:t>Laut dem Urteil des Kreisgerichts St. Gallen vom 9. November 2007 hat der Beschwerdeführer zusammen mit einem Mittäter von Mitte Juli 2006 bis Dezember 2006 100 bis 150 Gramm Kokain verkauft. Von Dezember 2006 bis März 2007 veräusserte er mit einem weiteren Täter rund 400 Gramm Kokain. Am Verkauf weiterer 700 Gramm war er als Mithelfer beteiligt. Das Kreisgericht erachtete sein Verschulden als schwer, beteiligte sich der Beschwerdeführer doch am Handel von erheblichen Mengen Kokain, war selber nicht drogenabhängig und sein Verhalten beruhte auf Gewinnstrebigkeit.</w:t>
      </w:r>
    </w:p>
    <w:p>
      <w:r>
        <w:rPr>
          <w:b/>
        </w:rPr>
        <w:t>E. 5.4</w:t>
      </w:r>
    </w:p>
    <w:p>
      <w:r>
        <w:t>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oder das Urteil des Bundesverwaltungsgerichts C-8229/2008 vom 8. Juli 2009 E. 5.2 mit Hinweisen). Verurteilungen zu Freiheitsstrafen wegen Drogendelikten führten denn auch nach altem Recht - selbst bei lediglich einer Verurteilung - regelmässig zur Anordnung einer Fernhaltemassnahme (siehe beispielsweise Urteile des Bundesverwaltungsgerichts C-8211/2007 vom 16. Mai 2008 E. 5.2 oder C-137/2006 vom 31. März 2008 E. 6.8). Die Voraussetzungen für ein Einreiseverbot gemäss Art. 67 Abs. 1 Bst. a AuG in der Fassung vom 1. Januar 2008 bzw. Art. 67 Abs. 2 Bst. a AuG in der Fassung vom 1. Januar 2011 sind - entgegen der Ansicht des Beschwerdeführers - zweifelsohne erfüllt.</w:t>
      </w:r>
    </w:p>
    <w:p>
      <w:r>
        <w:rPr>
          <w:b/>
        </w:rPr>
        <w:t>E. 6</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a.a.O., Rz. 613 ff.).</w:t>
      </w:r>
    </w:p>
    <w:p>
      <w:r>
        <w:rPr>
          <w:b/>
        </w:rPr>
        <w:t>E. 6.1</w:t>
      </w:r>
    </w:p>
    <w:p>
      <w:r>
        <w:t>Mit Blick auf die Dauer der verhängten Massnahme von Belang erscheint, dass der Beschwerdeführer aus rein finanziellen Motiven bereit war, durch Drogenhandel die Gesundheit einer Vielzahl von Menschen erheblichen Gefahren auszusetzen. Mitzuberücksichtigen gilt es ferner, dass er nicht selbständig vom Drogenhandel Abstand nahm, sondern erst infolge seiner Verhaftung. Auch war er nur teilweise geständig bzw. rang er sich erst nach hartnäckigem Leugnen zu einem Geständnis durch. Sein Fehlverhalten wiegt aus präventivpolizeilicher Sicht sehr schwer. Unter dem spezifischen Aspekt des Ausländerrechts muss er daher über Jahre hinweg als Risikofaktor für die öffentliche Sicherheit und Ordnung betrachtet werden, was grundsätzlich ein unbefristetes Einreiseverbot bzw. eine Fernhaltemassnahme von über fünf Jahren rechtfertigt (vgl. Art. 67 Abs. 3 in fine AuG).</w:t>
      </w:r>
    </w:p>
    <w:p>
      <w:r>
        <w:rPr>
          <w:b/>
        </w:rPr>
        <w:t>E. 6.2</w:t>
      </w:r>
    </w:p>
    <w:p>
      <w:r>
        <w:t>An persönlichen Interessen macht der Beschwerdeführer in seiner Rechtsmitteleingabe zunächst nur geltend, er habe im Wohnsitzstaat seiner Ehefrau eine neue Existenz aufgebaut, die durch das Einreiseverbot aufgrund der Ausdehnung auf den gesamten Schengenraum zerstört würde. Er beabsichtige keinesfalls, in die Schweiz zurückzukehren bzw. einzureisen. Ohne Ausdehnung des Einreiseverbots auf die Schengen Staaten hätte er dieses akzeptiert. Nach der Beschränkung des Einreiseverbots auf die Schweiz bringt er in seiner Replik vom 7. Juni 2010 und in einer ergänzenden Eingabe vom 21. Dezember 2010 nun vor, dass das Einreiseverbot es ihm unmöglich mache, seine Verwandten in der Schweiz zu besuchen, zu denen er nach wie vor gute Beziehungen habe.</w:t>
      </w:r>
    </w:p>
    <w:p>
      <w:r>
        <w:rPr>
          <w:b/>
        </w:rPr>
        <w:t>E. 6.3</w:t>
      </w:r>
    </w:p>
    <w:p>
      <w:r>
        <w:t>Dieser Widerspruch lässt darauf schliessen, dass ein allfälliges Interesse des Beschwerdeführers an Besuchen seiner Eltern und seines Bruders in der Schweiz auf jeden Fall nicht gross sein kann und insbesondere nicht gegen das überwiegende Interesse an seiner Fernhaltung ankommt. Zudem bestehen die Wirkungen des Einreiseverbots nicht darin, dass dem Beschwerdeführer während dessen Geltungsdauer Besuchsaufenthalte bei ihm nahe stehenden Personen in der Schweiz schlichtweg untersagt wären. Es steht ihm vielmehr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C-8229/2008 vom 8. Juli 2009 E. 6.4 mit Hinweisen). Der Kontakt zwischen ihm und seinen in der Schweiz lebenden Verwandten kann im Übrigen auch auf andere Weise als durch Besuche in der Schweiz gepflegt werden (Briefverkehr, Telefonate oder durch Reisen der Verwandten in den Aufenthaltsstaat des Beschwerdeführers).</w:t>
      </w:r>
    </w:p>
    <w:p>
      <w:r>
        <w:rPr>
          <w:b/>
        </w:rPr>
        <w:t>E. 6.4</w:t>
      </w:r>
    </w:p>
    <w:p>
      <w:r>
        <w:t>Eine wertende Gewichtung der sich entgegenstehenden Interessen führt das Bundesverwaltungsgericht zum Schluss, dass das unbefristete Einreiseverbot auch im gegenwärtigen Zeitpunkt unter Berücksichtigung der gängigen Praxis in vergleichbaren Fällen eine verhältnismässige und angemessene Massnahme zum Schutz der öffentlichen Ordnung darstellt. Schliesslich bedeutet die fehlende Befristung nicht, dass die Massnahme für den Rest des Lebens Gültigkeit haben soll; ein Anspruch auf Überprüfung der Massnahme bei Wohlverhalten besteht im Allgemeinen etwa zehn Jahre nach Verbüssung der letzten Freiheitsstrafe (vgl. BVGE 2008/24 E. 4.3 und 6.2 je mit Hinweisen). Eine zuverlässige Prognose, wie lange ein relevantes öffentliches Sicherheitsbedürfnis anzunehmen ist, lässt sich in casu zum jetzigen Zeitpunkt nicht abgeben. Es ist vom Beschwerdeführer zu verlangen, sich vorerst weiterhin während geraumer Zeit im Ausland zu bewähren.</w:t>
      </w:r>
    </w:p>
    <w:p>
      <w:r>
        <w:rPr>
          <w:b/>
        </w:rPr>
        <w:t>E. 7</w:t>
      </w:r>
    </w:p>
    <w:p>
      <w:r>
        <w:t>Aus diesen Erwägungen ergibt sich, dass die angefochtene Verfügung - nach der Revozierung des SIS-Eintrags - im Lichte von Art. 49 VwVG nicht zu beanstanden ist. Die Beschwerde ist somit - soweit nicht gegenstandslos geworden - abzuweisen. Mit dem Urteil in der Sache erweist sich der Verfahrensantrag um Wiederherstellung der aufschiebenden Wirkung als gegenstandslos.</w:t>
      </w:r>
    </w:p>
    <w:p>
      <w:r>
        <w:rPr>
          <w:b/>
        </w:rPr>
        <w:t>E. 8</w:t>
      </w:r>
    </w:p>
    <w:p>
      <w:r>
        <w:t>Bei der Festsetzung der Verfahrenskosten ist zu berücksichtigen, dass der Beschwerdeführer nicht vollständig unterliegt (nachträgliche Aufhebung des SIS-Eintrags). Die dadurch ermässigten Verfahrenskosten sind demnach auf Fr. 600.- festzusetzen (Art. 63 Abs. 1 VwVG i.V.m. Art. 1, Art. 2 und Art. 3 Bst. b des Reglements vom 21. Februar 2008 über die Kosten und Entschädigungen vor dem Bundesverwaltungsgericht [VGKE, SR 173.320.2]). Im Umfang seines Obsiegens ist dem Beschwerdeführer folglich eine gekürzte Parteientschädigung in gerichtlich festzusetzender Höhe zuzusprechen (Art. 64 Abs. 1 VwVG i.V.m. Art. 7 ff VGKE).</w:t>
      </w:r>
    </w:p>
    <w:p>
      <w:r>
        <w:rPr>
          <w:b/>
        </w:rPr>
        <w:t>E. 8.1</w:t>
      </w:r>
    </w:p>
    <w:p>
      <w:r>
        <w:t>Das vorliegende Urteil ist endgültig (Art. 83 Bst. c Ziff. 1 des Bundesgerichtsgesetzes vom 17. Juni 2005 [BGG, SR 173.110]).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