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C-2679/2014 vom 15. Februar 2016</w:t>
      </w:r>
    </w:p>
    <w:p>
      <w:r>
        <w:t>Bundesverwaltungsgericht, 2016-02-15, IT</w:t>
      </w:r>
    </w:p>
    <w:p>
      <w:r>
        <w:rPr>
          <w:b/>
        </w:rPr>
        <w:t xml:space="preserve">Quelle: </w:t>
      </w:r>
      <w:r>
        <w:t>https://mcp.opencaselaw.ch/entscheid/bvger_C-2679_2014</w:t>
      </w:r>
    </w:p>
    <w:p>
      <w:r>
        <w:t>FR: TAF C-2679/2014 du 15 février 2016</w:t>
      </w:r>
    </w:p>
    <w:p>
      <w:r>
        <w:t>IT: TAF C-2679/2014 del 15 febbraio 2016</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Al ricorrente è di principio applicabile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rendita AI essendo stata presentata il 31 gennaio 2012 (doc. A 1-1 a 1-6), al caso in esame si applicano di principio le disposizioni della 6a revisione della LAI (primo pacchetto) entrate in vigore il 1° gennaio 2012.</w:t>
      </w:r>
    </w:p>
    <w:p>
      <w:r>
        <w:rPr>
          <w:b/>
        </w:rPr>
        <w:t>E. 3.2</w:t>
      </w:r>
    </w:p>
    <w:p>
      <w:r>
        <w:t>Il ricorrente, come già menzionato, ha presentato la domanda di rendita il 31 gennaio 2012. In deroga all'art. 24 LPGA, l'art. 29 LAI prevede che il diritto alla rendita nasce al più presto dopo sei mesi dalla data in cui l'assicurato ha rivendicato il diritto alle prestazioni conformemente all'art. 29 cpv. 1 LPGA (riservate altresì le condizioni dell'art. 28 cpv. 1 LAI). Giova peraltro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5.3</w:t>
      </w:r>
    </w:p>
    <w:p>
      <w:r>
        <w:t>Benché l'invalidità sia una nozione economico-giuridica, le certificazioni mediche possono costituire importanti elementi per apprezzare il danno invalidante e per determinare quali lavori siano ancora ragionevolmente esigibili dall'assicurato (DTF 132 V 393 consid. 2.1 e relativi riferimenti).</w:t>
      </w:r>
    </w:p>
    <w:p>
      <w:r>
        <w:rPr>
          <w:b/>
        </w:rPr>
        <w:t>E. 6</w:t>
      </w:r>
    </w:p>
    <w:p>
      <w:r>
        <w:t>In virtù dell'art. 43 LPGA nonché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134 V 231 consid. 5.1 e 125 V 351 consid. 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7.3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8.1</w:t>
      </w:r>
    </w:p>
    <w:p>
      <w:r>
        <w:t>Nel gravame, il ricorrente rimprovera all'autorità inferiore di non avere sufficientemente motivato la decisione impugnata e fa valere una violazione del suo diritto di essere sentito, l'UAIE non essendosi confrontato nella decisione impugnata con il contenuto dei rapporti medici che egli ha prodotto con le osservazioni del 14 gennaio 2014 al progetto di decisione (doc. A 83-1 a 83-4).</w:t>
      </w:r>
    </w:p>
    <w:p>
      <w:r>
        <w:rPr>
          <w:b/>
        </w:rPr>
        <w:t>E. 8.2</w:t>
      </w:r>
    </w:p>
    <w:p>
      <w:r>
        <w:t>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C-6774/2009 del 21 dicembre 2009 consid. 4.1).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indipendentemente dalle possibilità di successo del ricorrente nel merito (DTF 135 V 187 conisd. 2.2 e relativi riferimenti; v. pure sentenza del TF 9C_734/2010 del 18 maggio 2011 consid. 4.1).</w:t>
      </w:r>
    </w:p>
    <w:p>
      <w:r>
        <w:rPr>
          <w:b/>
        </w:rPr>
        <w:t>E. 8.3</w:t>
      </w:r>
    </w:p>
    <w:p>
      <w:r>
        <w:t>La censura appare fondata ove solo si rilevi che né nel progetto di decisione del 16 dicembre 2013 né nella decisione del 28 marzo 2014 l'UAIE ha indicato con la necessaria precisione gli elementi determinanti alla base della valutazione medica. Inoltre, il ricorrente ha dovuto ricorrere senza essere in possesso in particolare della perizia SAM del 6 dicembre 2012 (doc. B 40-1 a 40-26) e del rapporto medico del 17 settembre 2013 del dott. G._______ (doc. B 42-1 a 42-5), alla base del rapporto finale SMR del 5 dicembre 2013 (doc. A 76-1 a 76-3) sul quale si fonda la decisione impugnata. Al riguardo può essere osservato che non appare ipotizzabile di potere ricorrere con criteri adeguati senza avere almeno conoscenza del contenuto essenziale dei menzionati documenti. Certo, all'insorgente è stata concessa da questo Tribunale la facoltà in sede di replica, e ciò dinanzi ad un'autorità che gode di piena cognizione, di pronunciarsi sul caso in esame dopo avere potuto prendere visione dei succitati documenti medici (perizia SAM e rapporto del dott. G._______). Per quanto attiene alla valutazione dei rapporti medici prodotti dall'interessato con le sue osservazioni del 14 gennaio 2014 al progetto di decisione, ci si può chiedere se sia sufficiente da parte dell'autorità inferiore, come è stato fatto nella fattispecie, d'indicare genericamente - dapprima nella decisione impugnata, poi pure nella risposta al ricorso e nella duplica - che essi non sono suscettibili di modificare la precedente valutazione sulla residua capacità lavorativa dell'interessato. La questione di sapere se siffatta generica formula standard costituisca nel caso in esame una violazione del diritto di essere sentito, nel senso di una carente motivazione che impedisce al ricorrente di ricorrente con criteri adeguati, può comunque rimanere indecisa in quanto il provvedimento impugnato deve comunque essere annullato per altri motivi (cfr. considerando 9 del presente giudizio).</w:t>
      </w:r>
    </w:p>
    <w:p>
      <w:r>
        <w:rPr>
          <w:b/>
        </w:rPr>
        <w:t>E. 9</w:t>
      </w:r>
    </w:p>
    <w:p>
      <w:r>
        <w:t>L'autorità inferiore ha accertato i fatti determinanti in modo insufficiente.</w:t>
      </w:r>
    </w:p>
    <w:p>
      <w:r>
        <w:rPr>
          <w:b/>
        </w:rPr>
        <w:t>E. 9.1</w:t>
      </w:r>
    </w:p>
    <w:p>
      <w:r>
        <w:t>Sottoposto in data 27 ottobre 2011 ad una MRI alla colonna lombosacrale e alla colonna vertebrale (doc. A 40-2), il ricorrente è risultato soffrire, tra l'altro, di esiti osteocondrosici a D11 e D12 e discopatia degenerativa ad L5/S1 con riduzione dello spessore e del segnale discale e piccolo prolasso sottolegamentoso centrale/paracentrale sin, sprovvisto di alcun effetto massa su sacco e/o radici.</w:t>
      </w:r>
    </w:p>
    <w:p>
      <w:r>
        <w:rPr>
          <w:b/>
        </w:rPr>
        <w:t>E. 9.2</w:t>
      </w:r>
    </w:p>
    <w:p>
      <w:r>
        <w:t>Nella perizia SAM del 6 dicembre 2012 (doc. B 40-1 a 40-26), fondata altresì sul rapporto neurologico del dott. D._______ (doc. B 40-27 a 40-32), il dott. E._______ e la dott.ssa F._______, hanno rilevato che l'assicurato soffre di sindrome cervicospondilogena cronica con stato da sindrome radicolare C7 a sin. su ernia discale C6-C7 paramediana sin., attualmente senza deficit radicolari residui, stato da intervento di discectomia C6-C7 a sin. per via anteriore, nonché di lieve sindrome del tunnel carpale bilaterale.</w:t>
      </w:r>
    </w:p>
    <w:p>
      <w:r>
        <w:rPr>
          <w:b/>
        </w:rPr>
        <w:t>E. 9.3</w:t>
      </w:r>
    </w:p>
    <w:p>
      <w:r>
        <w:t>Nel rapporto del 17 settembre 2013 (doc. B 42-1 a 42-5), il dott. G._______ ha posto la diagnosi segnatamente di sindrome cervicale e cervico-brachiale sx croniche in stato dopo operazione per ernia discale C6-C7 sx 07.03.2012, siringomielia C3-C4 e sindrome lombo-vertebrale e pseudoradicolare bilaterale croniche su alterazioni statiche ed ernia discale L5-S1. Egli ha poi indicato che il ricorrente presenta un'importante limitazione funzionale della colonna cervicale associata a dolori e debolezza dell'arto superiore sx persistenti, auspicando l'esecuzione perlomeno di una nuova RM cervicale ed eventualmente un consulto neurologico per verificare l'eventuale presenza di una sofferenza dei nervi irradianti il suddetto arto.</w:t>
      </w:r>
    </w:p>
    <w:p>
      <w:r>
        <w:rPr>
          <w:b/>
        </w:rPr>
        <w:t>E. 9.4</w:t>
      </w:r>
    </w:p>
    <w:p>
      <w:r>
        <w:t>Con rapporto finale del 5 dicembre 2013 (doc. A 76-1 a 76-3), il dott. I._______, medico SMR, ha ritenuto per l'assicurato, in virtù delle menzionate valutazioni mediche, un'incapacità lavorativa del 100% dal 16 ottobre 2011 e del 50% dal 16 novembre 2013 in qualità di conducente di autobus e del 100% dal 16 novembre 2011 e dello 0% dal 17 settembre 2013 (data del rapporto del dott. G._______) in attività sostitutiva adeguata.</w:t>
      </w:r>
    </w:p>
    <w:p>
      <w:r>
        <w:rPr>
          <w:b/>
        </w:rPr>
        <w:t>E. 9.5.1</w:t>
      </w:r>
    </w:p>
    <w:p>
      <w:r>
        <w:t>Con rapporto del 17 dicembre 2013 (doc A 83-3), prodotto dal ricorrente con le osservazione del 14 gennaio al progetto di decisione dell'autorità inferiore, il dott. L._______ ha rilevato che l'interessato, operato il 7 marzo 2012 per voluminosa ernia discale C6-C7, presenta una sindrome di Chiari di tipo I° con cavità siringomielica C3-C4 e dal febbraio 2013 soffre di una lombalgia invalidante con risentimento sciatalgico bilaterale, sottolineando nel contempo che un esame NMR lombare eseguito il 15 maggio 2013 dimostra la presenza di un'ernia discale L5-S1 mediana con compressione sul sacco durale. Egli ha poi evidenziato come il ricorrente mostra una limitazione funzionale del rachide cervicale con lieve deficit del m. tricipite brachiale sx e dissociazione termo-dolorifica e presenta inoltre un segno di Lasegue a 45° bilateralmente.</w:t>
      </w:r>
    </w:p>
    <w:p>
      <w:r>
        <w:rPr>
          <w:b/>
        </w:rPr>
        <w:t>E. 9.5.2</w:t>
      </w:r>
    </w:p>
    <w:p>
      <w:r>
        <w:t>Invitato a pronunciarsi in merito a questa documentazione medica, in data 14 febbraio 2014 il dott. I._______ si è confermato nella propria valutazione del 5 dicembre 2013, indicando che la visita effettuata dal dott. G._______ il 17 settembre 2013 ha tenuto conto anche dei disturbi alla colonna lombare (doc. A 87-1).</w:t>
      </w:r>
    </w:p>
    <w:p>
      <w:r>
        <w:rPr>
          <w:b/>
        </w:rPr>
        <w:t>E. 9.5.3</w:t>
      </w:r>
    </w:p>
    <w:p>
      <w:r>
        <w:t>Questo Tribunale constata altresì che con risposta del 16 luglio 2014 (doc. TAF 7), ribadita poi anche in sede di duplica il 28 ottobre seguente (doc. TAF 14), l'UAIE si è limitato a sostenere che i certificati medici prodotti dal ricorrente (doc. A 83-1 a 83-4) pongono in sostanza le stesse diagnosi (già) attestate nelle perizia dei dott. E._______ e F._______ del 6 dicembre 2012 e quella del dott. G._______ del 17 settembre 2013. Tuttavia tale constatazione è contraria alle risultanze processuali. In effetti, l'autorità di prime cure non ha così tenuto conto dell'intervenuta modifica dello stato di salute dell'insorgente. Dal rapporto medico del 17 dicembre 2013 del dott. L._______ - specialista in neurochirurgia, chirurgia generale, chirurgia sperimentale e microchirurgia - risulta che al più tardi dall'esame NMR eseguito il 15 maggio 2013, dunque anteriormente alla decisione impugnata, all'insorgente è stata riscontrata un'ernia discale L5-S1 mediana con compressione sul sacco durale (doc. A 83-3), ciò che non risulta dalla perizia SAM del 6 dicembre 2012. Certo, il rapporto del dott. G._______ del 17 settembre 2013 fa stato della nuova affezione di cui soffre il ricorrente, ossia di un'ernia discale L5-S1. Tuttavia, e contrariamente a quanto poi ritenuto dal medico SMR, dott. H._______, nella sua annotazione medica del 14 febbraio 2014, il dott. G._______ ha suggerito l'effettuazione di ulteriori accertamenti (nuova RM) volti a chiarire l'effettiva portata delle affezioni lombari e cervicali di cui soffre il ricorrente. Non risulta per contro che il dott. G._______ si sia pronunciato, nel più volte menzionato rapporto del 17 settembre 2013, sulla portata della diagnosticata ernia discale L5-S1 con compressione sul sacco durale sulla residua capacità lavorativa dell'insorgente in un'attività sostitutiva adeguata (fermo restando che il ricorrente lavora comunque al 50% nella sua precedente attività di autista di autobus dal 1° novembre 2013). Da questo profilo, peraltro, non solo non sono stati effettuati i necessari accertamenti RM, ma né il medico SMR né l'autorità inferiore hanno spiegato per quale motivo preciso un'ernia discale con compressione del sacco durale non potrebbe incidere sulla residua capacità lavorativa in attività sostitutive e dunque implicare una riduzione della stessa al di sotto del 100%, senza che ciò possa comunque e senz'altro essere ritenuto come fatto acquisito allo stato attuale degli atti di causa. In altri termini, la menzionata ernia discale con compressione del sacco durale è chiaramente suscettibile di modificare perlomeno la residua capacità lavorativa del ricorrente in un'attività sostitutiva adeguata (capacità lavorativa che l'autorità inferiore nella motivazione della decisione impugnata ha ritenuto essere del 100% a decorrere dal 17 settembre 2013) e dunque il suo grado d'invalidità.</w:t>
      </w:r>
    </w:p>
    <w:p>
      <w:r>
        <w:rPr>
          <w:b/>
        </w:rPr>
        <w:t>E. 9.6</w:t>
      </w:r>
    </w:p>
    <w:p>
      <w:r>
        <w:t>Da quanto esposto, discende che la decisione impugnata - che viola il diritto federale (accertamento inesatto e incompleto dei fatti giuridicamente rilevanti) -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C-2183/2013 del 28 gennaio 2015 consid. 10.1).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rilevanti e ad emanare una nuova decisione. La cassazione si giustifica per il fatto che dovranno essere completati i necessari accertamenti medici, segnatamente dei nuovi esami neurologici ed una perizia ortopedica (cfr., sulla possibilità di un rinvio all'autorità inferiore in siffatte circostanze, DTF 137 V 210 consid. 4.4.1.4 e sentenza del TF 8C_633/2014 dell'11 dicembre 2014 consid. 3.2 e 3.3), nonché ogni ulteriore esame che pure l'evoluzione nel tempo dello stato di salute del ricorrente dovesse ancora rendere necessario. Per il resto, e tenuto conto dell'esito di tali accertamenti completivi, l'UAIE dovrà effettuare un nuovo confronto dei redditi determinanti sulla base delle possibili attività sostitutive ritenute adeguate dal profilo medico-teorico e realisticamente realizzabili in un mercato del lavoro equilibrato.</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28 marzo 2014 l'autorità inferiore ha già riconosciuto al ricorrente una rendita intera d'invalidità fino al 31 dicembre 2013 - rimasta incontestata in questa sede e dunque pacificamente cresciuta in giudicato (il ricorrente non potendo peraltro fare valere alcun interesse degno di protezione a constatare la legittimità dell'attribuzione a suo favore di una rendita intera fino al 31 dicembre 2013) - e alcuna rendita a decorrere dal 1° gennaio 2014. Non è pertanto necessario conferire al ricorrente la facoltà di ritirare il proprio gravame.</w:t>
      </w:r>
    </w:p>
    <w:p>
      <w:r>
        <w:rPr>
          <w:b/>
        </w:rPr>
        <w:t>E. 11.1</w:t>
      </w:r>
    </w:p>
    <w:p>
      <w:r>
        <w:t>Visto l'esito della causa, non sono prelevate delle spese processuali (art. 63 PA). L'anticipo equivalente alle presunte spese processuali di fr. 400.- versato il 17 giugno 2014, sarà restituito al ricorrente allorquando la presente sentenza sarà cresciuta in giudicato.</w:t>
      </w:r>
    </w:p>
    <w:p>
      <w:r>
        <w:rPr>
          <w:b/>
        </w:rPr>
        <w:t>E. 11.2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reputato vincente, dal profilo delle ripetibili, anche se la causa è rinviata all'amministrazione per complemento istruttorio e nuova decisione). La stessa, in assenza di una nota dettagliata, è fissata d'ufficio (art. 14 cpv. 2 TS-TAF) complessivamente in fr. 2'800.-,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