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C-2677/2018 vom 9. Dezember 2020</w:t>
      </w:r>
    </w:p>
    <w:p>
      <w:r>
        <w:t>Bundesverwaltungsgericht, 2020-12-09, DE</w:t>
      </w:r>
    </w:p>
    <w:p>
      <w:r>
        <w:rPr>
          <w:b/>
        </w:rPr>
        <w:t xml:space="preserve">Quelle: </w:t>
      </w:r>
      <w:r>
        <w:t>https://mcp.opencaselaw.ch/entscheid/bvger_C-2677_2018</w:t>
      </w:r>
    </w:p>
    <w:p>
      <w:r>
        <w:t>FR: TAF C-2677/2018 du 9 décembre 2020</w:t>
      </w:r>
    </w:p>
    <w:p>
      <w:r>
        <w:t>IT: TAF C-2677/2018 del 9 dicembre 2020</w:t>
      </w:r>
    </w:p>
    <w:p>
      <w:pPr>
        <w:pStyle w:val="Heading2"/>
      </w:pPr>
      <w:r>
        <w:t>Regeste</w:t>
      </w:r>
    </w:p>
    <w:p>
      <w:r>
        <w:t>Rentenrevision</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 Adressatin ist die Beschwerdeführerin von der angefochtenen Verfügung berührt und sie kann sich auf ein schutzwürdiges Interesse an deren Aufhebung oder Änderung berufen (Art. 59 ATSG; Art. 48 Abs. 1 VwVG).</w:t>
      </w:r>
    </w:p>
    <w:p>
      <w:r>
        <w:rPr>
          <w:b/>
        </w:rPr>
        <w:t>E. 1.4</w:t>
      </w:r>
    </w:p>
    <w:p>
      <w:r>
        <w:t>Da die Beschwerde im Übrigen frist- und formgerecht (Art 60 Abs. 1 ATSG und Art. 52 Abs. 1 VwVG) eingereicht und der Kostenvorschuss fristgerecht geleistet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22. März 2018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22. März 2018) eingetretenen Sachverhalt ab (BGE 132 V 215 E. 3.1.1). Tatsachen, die jenen Sachverhalt seither verändert haben, sollen im Normalfall Gegenstand einer neuen Verwaltungsverfügung sein (BGE 121 V 362 E. 1b).</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3.5</w:t>
      </w:r>
    </w:p>
    <w:p>
      <w:r>
        <w:t>Die Prüfung, ob eine psychische Erkrankung eine rentenbegründende Invalidität zu begründen vermag, hat grundsätzlich anhand eines strukturierten Beweisverfahrens nach BGE 141 V 281 zu erfolgen (BGE 143 V 409 E. 4.5; 143 V 418 E. 6 ff.). Die ärztliche Beurteilung bildet eine wichtige Grundlage für die anschliessende juristische Beurteilung.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(vgl. BGE 144 V 50 E. 4.3 mit zahlreichen Hinweisen).</w:t>
      </w:r>
    </w:p>
    <w:p>
      <w:r>
        <w:rPr>
          <w:b/>
        </w:rPr>
        <w:t>E. 3.5.1</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3.5.2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3.5.3</w:t>
      </w:r>
    </w:p>
    <w:p>
      <w:r>
        <w:t>Aus Gründen der Verhältnismässigkeit kann dort von einem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mit Hinweisen).</w:t>
      </w:r>
    </w:p>
    <w:p>
      <w:r>
        <w:rPr>
          <w:b/>
        </w:rPr>
        <w:t>E. 3.6</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3.7</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4</w:t>
      </w:r>
    </w:p>
    <w:p>
      <w:r>
        <w:t>Im Verfahren B-6300/2013, in welchem sich das Bundesverwaltungsgericht (BVGer) bereits mit der vorliegenden Streitsache befasste, wurde festgestellt, dass sich die Vorinstanz bei der Rentenaufhebung zu Recht auf Bst. a SchlBest. IVG gestützt hat, da die Rente damals aufgrund eines Gesundheitsschadens im Sinne der Übergangsbestimmung zugesprochen, die Rente innerhalb von drei Jahren seit Inkrafttreten der Bestimmung überprüft wurde, die Beschwerdeführerin im Zeitpunkt der Überprüfung noch nicht 55 Jahre alt war und noch kein über 15-jähriger Rentenbezug vorlag. Darauf ist zu verweisen (vgl. Urteil des BVGer B-6300/2013 vom 3. Mai 2016 E. 4.1 f.). Mit anderen Worten kann die rechtskräftig zugesprochene Rente der Beschwerdeführerin gestützt auf Bst. a Abs. 1 SchlBest. IVG aufgehoben werden, sollten die weiteren Voraussetzungen erfüllt sein. Dies ist im Folgenden zu prüfen.</w:t>
      </w:r>
    </w:p>
    <w:p>
      <w:r>
        <w:rPr>
          <w:b/>
        </w:rPr>
        <w:t>E. 4.1</w:t>
      </w:r>
    </w:p>
    <w:p>
      <w:r>
        <w:t>Dr. med. D._______, Facharzt für Psychiatrie und Psychotherapie FMH, führte in seinem Gutachten vom 5. Dezember 2016 (IV-act. 203) aus, bei der Beschwerdeführerin liege die bereits früher diagnostizierte Fibromyalgie und eine Anpassungsstörung vor. Ferner leide sie aktuell an einer Somatisierungsstörung. Seit der letzten Begutachtung im Jahr 2012 habe sich der Gesundheitszustand leicht verschlechtert. Insgesamt sei die Arbeitsfähigkeit aus psychiatrischer Sicht aktuell um 30-40 % reduziert.</w:t>
      </w:r>
    </w:p>
    <w:p>
      <w:r>
        <w:rPr>
          <w:b/>
        </w:rPr>
        <w:t>E. 4.2</w:t>
      </w:r>
    </w:p>
    <w:p>
      <w:r>
        <w:t>Dr. med. E._______, Facharzt für Rheumatologie und Rehabilitation FMH, attestierte der Beschwerdeführerin in seinem Gutachten vom 5. Dezember 2016 (IV-act. 204) keine Diagnosen mit Auswirkungen auf die Arbeitsfähigkeit. Als Diagnosen ohne Auswirkungen auf die Arbeitsfähigkeit nannte er: Fibromyalgie (seit 1999), Zervikovertebralsyndrom mit Diskusprotrusion C6-C7, Becker-Zyste rechtes Knie (seit 2015) und Osteopenie an der Grenze zur Osteoporose (seit 2012). Dr. med. E._______ bestätigte, dass die Beschwerdeführerin grundsätzlich lege artis behandelt werde, auch wenn sie offensichtlich einige der verschriebenen Medikamente nur bei Bedarf einnehme/einnehmen müsse. Auch sei nicht klar, ob die psychiatrische Therapie konsequent erfolge oder nicht, und die Schmerztherapie mit Voltaren und Palexia Retard und Mydocalm je in Reserve sei eher atypisch für eine Patientin mit Fibromyalgie. Unter Berücksichtigung der genannten Diagnosen attestierte er der Beschwerdeführerin eine volle Arbeitsfähigkeit.</w:t>
      </w:r>
    </w:p>
    <w:p>
      <w:r>
        <w:rPr>
          <w:b/>
        </w:rPr>
        <w:t>E. 4.3</w:t>
      </w:r>
    </w:p>
    <w:p>
      <w:r>
        <w:t>Dr. med. G._______, Facharzt für Psychiatrie und Psychotherapie und behandelnder Facharzt der Beschwerdeführerin, attestierte der Beschwerdeführerin in seinem Bericht vom 26. Juni 2017 (IV-act. 220) eine Dysthymie (ICD-10 F34.1) bei Verdacht auf anhaltende somatoforme Schmerzstörung (ICD-10 F45.4); auch die von Dr. med. D._______ gestellte Diagnose einer Somatisierungsstörung (ICD-10 45.0) könne differentialdiagnostisch aufrechterhalten werden. Die Prognose sei aufgrund der Chronifizierung und der Multimorbidität ungünstig und die therapeutischen Optionen schienen sehr limitiert. In Bezug auf die Arbeitsfähigkeit führte Dr. med. G._______ aus, er habe keine Krankschreibung vorgenommen, weil aufgrund einer Dysthymie erfahrungsgemäss keine längerfristige höhergradige Arbeitsunfähigkeit attestiert werden könne.</w:t>
      </w:r>
    </w:p>
    <w:p>
      <w:r>
        <w:rPr>
          <w:b/>
        </w:rPr>
        <w:t>E. 4.4</w:t>
      </w:r>
    </w:p>
    <w:p>
      <w:r>
        <w:t>Dr. med. J._______, Fachärztin für Innere Medizin und behandelnde Ärztin der Beschwerdeführerin, bestätigte in ihrem Attest vom 23. Juli 2017 (IV-act. 225), dass die Beschwerdeführerin wegen folgender Beschwerden bei ihr in Behandlung sei: chronische ausgedehnte muskuloskelettale Schmerzen, Fibromyalgie, Diskopathie C6/7, Diabetes Mellitus Typ II, Arterielle Hypertonie, Hypothyreose, ängstlich angespannte Persönlichkeit, Schlafapnoesyndrom, Bakerzyste rechts, Wechseljahrbeschwerden, leichte Aortainsuffizienz bei tricuspider, leichter degenerativ veränderter Aortenklappe mit Herzinsuffizienz, Hypercholesterinämie und Tinnitus. Ausserdem bestünden die von Dr. med. G._______ gestellten Diagnosen. Die Ärztin führte aus, die Beschwerdeführerin sei vor allem durch die Schmerzen im Bereich der HWS und LWS in ihrem Lebensalltag eingeschränkt. Zusätzlich bestünden auch Schmerzen in den Handgelenken, beiden Schultern und Kniegelenken beidseits. Die Beschwerdeführerin benötige weiterhin internistische, rheumatologische und psychiatrische Behandlung. Die Prognose sei aufgrund der Chronifizierung, der Multimorbidität und des Alters der Beschwerdeführerin ungünstig. Angaben zur Arbeitsfähigkeit machte die Ärztin keine.</w:t>
      </w:r>
    </w:p>
    <w:p>
      <w:r>
        <w:rPr>
          <w:b/>
        </w:rPr>
        <w:t>E. 4.5</w:t>
      </w:r>
    </w:p>
    <w:p>
      <w:r>
        <w:t>Die seit der Rückweisung durch das Bundesverwaltungsgericht eingeholten medizinischen Unterlagen wurden von Dr. med. F._______, Fachärztin für Psychiatrie und Psychotherapie beim RAD, geprüft (vgl. Stellungnahme vom 24. Juli 2017, IV-act. 222). Sie stellte fest, dass lediglich Dr. med. E._______ eine Prüfung der Standardindikatoren aus rheumatologischer Sicht durchgeführt hatte und kam dabei zum Schluss, dass es - um dem Rückweisungsauftrag des Bundesverwaltungsgerichts zu genügen - notwendig sei, auch von Dr. med. D._______ eine Stellungnahme zu den Standardindiaktoren einzufordern. Das Dossier wurde in der Folge nicht Dr. med. D._______, sondern einem Expertengremium, bestehend aus Ärzten des Medizinischen Dienstes und Fachpersonen der IVSTA, vorgelegt und die Ergebnisse im P.V. du rapport OAIE / médecins vom 26. Oktober 2017 (IV-act. 232) festgehalten. Das Expertengremium hat in seinem Bericht die medizinische Aktenlage zusammengefasst und gestützt auf die vorhandenen Unterlagen eine eigene Indikatorenprüfung durchgeführt.</w:t>
      </w:r>
    </w:p>
    <w:p>
      <w:r>
        <w:rPr>
          <w:b/>
        </w:rPr>
        <w:t>E. 4.5.1</w:t>
      </w:r>
    </w:p>
    <w:p>
      <w:r>
        <w:t>Vorab ist festzuhalten, dass hier keine Ausschlussgründe im Sinn von BGE 141 V 281 E. 2.2 vorliegen. Der rheumatologische Gutachter hat eine Aggravation ausdrücklich ausgeschlossen.</w:t>
      </w:r>
    </w:p>
    <w:p>
      <w:r>
        <w:rPr>
          <w:b/>
        </w:rPr>
        <w:t>E. 4.5.2</w:t>
      </w:r>
    </w:p>
    <w:p>
      <w:r>
        <w:t>Im Rahmen der Kategorie «funktioneller Schweregrad» ist zunächst der Komplex Gesundheitsschädigung zu beurteilen. Gemäss Dr. med. D._______ liegt eine Somatisierungsstörung und eine Anpassungsstörung vor. Der behandelnde Psychiater attestierte eine Dysthymie. In Bezug auf den Behandlungserfolg ist festzuhalten, dass offensichtlich erst seit dem 4. Januar 2016 eine psychiatrische Behandlung stattfand. Wobei auch diese Behandlung nicht sehr systematisch zu sein scheint und in relativ grossen zeitlichen Abständen stattfindet («es fanden vereinzelte Besprechungen und Behandlungsversuche statt»). Der letzte Termin vor dem Bericht vom 26. Juni 2017 fand am 8. Mai 2017, also rund sechs Wochen vorher statt (vgl. Bericht Dr. med. G._______ vom 26. Juni 2017, IV-act. 220). Medikamentös wurde die Beschwerdeführerin mit Saroten, Dalmadorm und Deanxit behandelt. Als rechtlich bedeutsame Komorbiditäten fallen - nebst Begleiterkrankungen mit eigenständiger invalidisierender Bedeutung (vgl. BGE 141 V 281 E. 4.3.1.3) - Beschwerden in Betracht, welchen im konkreten Fall ressourcenhemmende Wirkung beizumessen ist (vgl. BGE 143 V 281 E. 8.1). Als massgebende Komorbidität besteht gemäss den Experten eine Fibromyalgie, ein Zervikovertebralsyndrom, eine Becker-Zyste und Osteopenie. Diese Beschwerden haben gemäss der Einschätzung des rheumatologischen Gutachters keine eigenständige invalidisierende Wirkung. Es ist indes davon auszugehen, dass die Beschwerdeführerin aufgrund der verspürten Schmerzen schneller ermüdet und lediglich körperlich leichte Tätigkeiten ausüben kann.</w:t>
      </w:r>
    </w:p>
    <w:p>
      <w:r>
        <w:rPr>
          <w:b/>
        </w:rPr>
        <w:t>E. 4.5.3</w:t>
      </w:r>
    </w:p>
    <w:p>
      <w:r>
        <w:t>Anhaltspunkte dafür, dass die Persönlichkeit der Beschwerdeführerin ihr funktionelles Leistungsvermögen einschränkt, ergeben sich aus den medizinischen Unterlagen nicht. Der psychiatrische Experte hat keine Hinweise auf eine Persönlichkeitsstörung gefunden (BGE 141 V 281 E. 4.3.2).</w:t>
      </w:r>
    </w:p>
    <w:p>
      <w:r>
        <w:rPr>
          <w:b/>
        </w:rPr>
        <w:t>E. 4.5.4</w:t>
      </w:r>
    </w:p>
    <w:p>
      <w:r>
        <w:t>Der Komplex «sozialer Kontext» (BGE 141 V 281 E. 4.3.3) zeigt, dass die Beschwerdeführerin über moblilisierbare Ressourcen verfügt (gute Beziehung zum Ehemann und den Töchtern sowie den Enkeln). Es liegt kein sozialer Rückzug vor. Im Sommer verbringt die Beschwerdeführerin jährlich ungefähr einen Monat Ferien in ihrer Heimat K._______</w:t>
      </w:r>
    </w:p>
    <w:p>
      <w:r>
        <w:rPr>
          <w:b/>
        </w:rPr>
        <w:t>E. 4.5.5</w:t>
      </w:r>
    </w:p>
    <w:p>
      <w:r>
        <w:t>In der Kategorie «Konsistenz» ist in Bezug auf die Einschränkung des Aktivitätenniveaus in vergleichbaren Lebensbereichen (BGE 141 V 281 E. 4.4.1) ersichtlich, dass die Beschwerdeführerin in der Lage ist, im Haushalt Arbeiten zu verrichten. Für die schweren Arbeiten erhält sie Unterstützung von ihrem (mittlerweile pensionierten) Ehemann. Sie geht mit dem Hund spazieren und spielt oft mit den Enkeln. In Bezug auf den ebenfalls zur Konsistenz gehörende Indikator "behandlungs- und eingliederungsanamnestisch ausgewiesener Leidensdruck" ist festzuhalten, dass die Beschwerdeführerin zwar angeblich wöchentlich Physiotherapie, Lymphdrainage oder Osteopathie in Anspruch nimmt, eine konsequente psychiatrische Behandlung jedoch offenbar erst seit 2016 verfolgt wurde.</w:t>
      </w:r>
    </w:p>
    <w:p>
      <w:r>
        <w:rPr>
          <w:b/>
        </w:rPr>
        <w:t>E. 4.5.6</w:t>
      </w:r>
    </w:p>
    <w:p>
      <w:r>
        <w:t>Insgesamt ist festzustellen, dass die Vorinstanz die Beschwerdeführerin zwar separat rheumatologisch und psychiatrisch hat abklären lassen und auch eine internistische Beurteilung bei der behandelnden Ärztin bei den Akten ist, dass indes eine fachärztliche polydisziplinäre Beurteilung (rheumatologisch, psychiatrisch und internistisch), welche die bei der Beschwerdeführerin vorhandenen Beschwerden in ihrer Gesamtheit hinreichend erfasst und würdigt, nicht vorgenommen worden ist. Die medizinischen Akten genügen insbesondere den Anforderungen an eine Indikatorenprüfung nicht, da sich lediglich Dr. med. E._______, nicht aber Dr. med. D._______ zu den Indikatoren geäussert hat. Dr. med. F._______ des RAD hatte dies in ihrer Stellungnahme vom 24. Juli 2017 bereits zu Recht bemängelt, zumal angesichts der bei der Beschwerdeführerin vorliegenden Beschwerden eine Prüfung der Indikatoren durch den (untersuchenden) Psychiater unerlässlich ist. Eine stellvertretende Beurteilung der Indikatoren durch das Expertengremium, wie sie im vorliegenden Fall gemacht wurde, ersetzt indes die Beurteilung durch die untersuchenden Gutachter nicht, da diese Indikatorenprüfung den Anforderungen der bundesgerichtlichen Rechtsprechung nicht genügt. Zusammenfassend ist daher festzuhalten, dass vorliegend eine interdisziplinäre fachärztliche Beurteilung (rheumatologisch, psychiatrisch und internistisch) fehlt, welche die vorhandenen Beschwerden hinreichend und umfassend würdigt und unter Berücksichtigung der von der bundesgerichtlichen Rechtsprechung geforderten Standardindikatoren die Auswirkungen auf die Arbeitsfähigkeit beurteilt.</w:t>
      </w:r>
    </w:p>
    <w:p>
      <w:r>
        <w:rPr>
          <w:b/>
        </w:rPr>
        <w:t>E. 4.6</w:t>
      </w:r>
    </w:p>
    <w:p>
      <w:r>
        <w:t>Die Beschwerdeführerin beantragte im Rahmen ihrer Beschwerde im Eventualantrag die Durchführung einer pluridisziplinären Begutachtung.</w:t>
      </w:r>
    </w:p>
    <w:p>
      <w:r>
        <w:rPr>
          <w:b/>
        </w:rPr>
        <w:t>E. 4.6.1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4.6.2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4.6.3</w:t>
      </w:r>
    </w:p>
    <w:p>
      <w:r>
        <w:t>Hier liegen zwar mehrere vom Bundesverwaltungsgericht zu würdigende Berichte im Recht, die jedoch eine abschliessende Beurteilung der Arbeitsfähigkeit nicht zulassen. Eine Beurteilung ohne eingehende Diskussion der die Arbeitsfähigkeit beeinflussenden Faktoren und ohne die Durchführung eines strukturierten Beweisverfahrens ist im vorliegenden Fall nicht zulässig. Die vorliegende Konstellation hätte zwangsläufig zu einer Präzisierung der vorhandenen Unterlagen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Daher und aufgrund dessen, dass vorliegend aufgrund der Aktenlage der Gesundheitszustand und demnach auch die Arbeitsfähigkeit der Beschwerdeführerin nicht abschliessend beurteilt werden kann, ist die Beschwerde gutzuheissen und die Verfügung vom 22. März 2018 ist aufzuheben. Die Sache ist zur Durchführung der notwendigen medizinischen Abklärungen und Prüfung des Leistungsanspruchs an die Vorinstanz zurückzuweisen.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(vgl. Art. 8 Abs. 1 und 2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Die Spesen werden aufgrund der tatsächlichen Kosten ausbezahlt (Art. 11 Abs. 1 VGKE). Die Beschwerdeführerin war im vorliegenden Verfahren anwaltlich vertreten, weshalb ihr zu Lasten der unterliegenden Vorinstanz eine Parteientschädigung zuzusprechen ist. Der Vertreter der Beschwerdeführerin hat eine Kostennote eingereicht, mit welcher er insgesamt ein Honorar von Fr. 6'668.20 (27 Stunden à Fr. 240.- und Barauslagen in der Höhe von Fr. 194.20) geltend gemacht hat. Dabei wurden diejenigen Aufwendungen aufgeführt, die seit der Rückweisung der Sache mit Urteil B-6300/2013 vom 3. Mai 2016 des Bundesverwaltungsgerichts angefallen sind. Es handelt sich dabei namentlich um Aufwendungen seit dem 10. Oktober 2016. Diesbezüglich ist darauf hinzuweisen, dass im vorliegenden Verfahren lediglich Aufwendungen zu entschädigen sind, die in einem direkten Zusammenhang mit dem Beschwerdeverfahren vor dem Bundesverwaltungsgericht stehen. Praxisgemäss gehören dazu eine Besprechung mit der Beschwerdeführerin sowie die darauffolgende Beschwerdeerhebung und die weiteren Eingaben und damit zusammenhängenden Aufwendungen im Beschwerdeverfahren. Vorliegend sind somit erst die seit dem 6. April 2018 (Empfang der Verfügung betreffend IV-Rente) geltend gemachten Stunden zu berücksichtigen. In der (grundsätzlich) zu berücksichtigenden Zeitspanne ab dem 6. April 2018 sind indes noch Aufwendungen genannt, die im Wesentlichen aus Korrespondenz und Telefonaten mit der Rechtsschutzversicherung bestehen, die somit ausserhalb des vorliegenden Verfahrens angefallen sind und demnach ebenso wenig zu berücksichtigen sind. Seit dem 6. April 2018 sind somit gemäss der (im Sinne der vorstehenden Ausführungen berichtigten) Honorarnote noch 13,80 Stunden à Fr. 240.- sowie 0,1 Stunden à Fr. 180.-, insgesamt somit Fr. 3'330.- zu entschädigen. Gemäss Art. 11 Abs. 1 VGKE sind die tatsächlichen Auslagen zu vergüten, weshalb die geltend gemachten pauschalen Auslagen von 3 % des gesamten Honorars grundsätzlich nicht zulässig sind, sofern - wie hier - keine besonderen Verhältnisse vorliegen (vgl. Art. 11 Abs. 3 VGKE). Mit Blick auf die umfangreichen Akten und die detaillierte Honorarnote, welche den angefallenen Aufwand gut nachvollziehbar macht, ist jedoch davon auszugehen, dass die geltend gemachten Auslagen für Porto, Telefon und Kopien in der Höhe von Fr. 194.20 in etwa den tatsächlichen Kosten entsprechen dürften, sodass die Parteientschädigung in diesem Punkt in der geltend gemachten Höhe zuzusprechen ist (vgl. Urteil des BVGer C-334/2018 vom 9. Dezember 2019 E. 6.2). Zusammenfassend ist somit festzuhalten, dass der Beschwerdeführerin zu Lasten der unterliegenden Vorinstanz eine Parteientschädigung in der Höhe von Fr. 3'330.- zuzüglich Auslagen von Fr. 194.20, also insgesamt Fr. 3'524.20,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