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C-2677/2010 vom 4. Oktober 2010</w:t>
      </w:r>
    </w:p>
    <w:p>
      <w:r>
        <w:t>Bundesverwaltungsgericht, 2010-10-04, DE</w:t>
      </w:r>
    </w:p>
    <w:p>
      <w:r>
        <w:rPr>
          <w:b/>
        </w:rPr>
        <w:t xml:space="preserve">Quelle: </w:t>
      </w:r>
      <w:r>
        <w:t>https://mcp.opencaselaw.ch/entscheid/bvger_C-2677_2010</w:t>
      </w:r>
    </w:p>
    <w:p>
      <w:r>
        <w:t>FR: TAF C-2677/2010 du 4 octobre 2010</w:t>
      </w:r>
    </w:p>
    <w:p>
      <w:r>
        <w:t>IT: TAF C-2677/2010 del 4 ottobre 2010</w:t>
      </w:r>
    </w:p>
    <w:p>
      <w:pPr>
        <w:pStyle w:val="Heading2"/>
      </w:pPr>
      <w:r>
        <w:t>Regeste</w:t>
      </w:r>
    </w:p>
    <w:p>
      <w:r>
        <w:t>Invaliditätsbemessung</w:t>
      </w:r>
    </w:p>
    <w:p>
      <w:pPr>
        <w:pStyle w:val="Heading2"/>
      </w:pPr>
      <w:r>
        <w:t>Erwägungen</w:t>
      </w:r>
    </w:p>
    <w:p>
      <w:r>
        <w:rPr>
          <w:b/>
        </w:rPr>
        <w:t>E. 1</w:t>
      </w:r>
    </w:p>
    <w:p>
      <w:r>
        <w:t>Die Beschwerde wird in dem Sinne teilweise gutgeheissen, dass die angefochtene Verfügung aufgehoben und die Sache zur Vornahme der erforderlichen weiteren ärztlichen Abklärungen an die Vorinstanz zurückgewiesen wird.</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(Einschreiben mit Rückschein; Beilage: Doppel der Vernehmlassung vom 24. September 2010 samt ärztlicher Stellungnahme vom 10. September 2010 in Kopie [act. 112]) die Vorinstanz (Ref-Nr. xxxx) das Bundesamt für Sozialversicherungen Der vorsitzende Richter: Die Gerichtsschreiberin: Stefan Mesmer Susanne Marbet Coullery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