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C-2676/2009 vom 14. Dezember 2009</w:t>
      </w:r>
    </w:p>
    <w:p>
      <w:r>
        <w:t>Bundesverwaltungsgericht, 2009-12-14, FR</w:t>
      </w:r>
    </w:p>
    <w:p>
      <w:r>
        <w:rPr>
          <w:b/>
        </w:rPr>
        <w:t xml:space="preserve">Quelle: </w:t>
      </w:r>
      <w:r>
        <w:t>https://mcp.opencaselaw.ch/entscheid/bvger_C-2676_2009</w:t>
      </w:r>
    </w:p>
    <w:p>
      <w:r>
        <w:t>FR: TAF C-2676/2009 du 14 décembre 2009</w:t>
      </w:r>
    </w:p>
    <w:p>
      <w:r>
        <w:t>IT: TAF C-2676/2009 del 14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articles 94 al. 1 et 96 de la Convention d'application du 19 juin 1990 de l'Accord de Schengen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entrée en vigueur le 5 décembre 2008, les personnes non-ressortissantes d'un Etat partie aux Accords d'association à Schengen - accords énumérés à l'annexe 1 chiffre 1 LEtr - contre lesquelles a été prononcée une décision d'interdiction d'entrée sont en principe signalées aux fins de non-admission dans le système d'information Schengen (ci-après: SIS; cf. à ce sujet art. 92ss CAAS). Une telle inscription dans le SIS effectuée en raison d'une décision d'éloignement prise par l'ODM a pour conséquence d'empêcher l'entrée de l'intéressé sur le territoire d'un Etat membre de l'Espace Schengen (cf. art. 5 par. 1 let. d et 13 par. 1 du règlement (CE) n° 562/2006 du Parlement européen et du Conseil du 15 mars 2006 établissant un code communautaire relatif au régime de franchissement des frontières par les personnes [code frontières Schengen, JO L 105 du 13 avril 2006 pp. 1 à 32]). En l'espèce, du dossier, il appert que A._______ n'est pas inscrit dans le SIS.</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au sens des art. 64 à 68 LEtr (let. d).</w:t>
      </w:r>
    </w:p>
    <w:p>
      <w:r>
        <w:rPr>
          <w:b/>
        </w:rPr>
        <w:t>E. 4.2</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qu'il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C-5422/2009 du 10 juin 2009 consid. 6.2 et C-707/2008 du 18 mars 2009 consid. 4.2). Si des raisons majeures le justifient, la décision d'interdiction d'entrée peut être provisoirement suspendue (art. 67 al. 4 LEtr).</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4.4</w:t>
      </w:r>
    </w:p>
    <w:p>
      <w:r>
        <w:t>En application de l'art. 81 OASA, les autorités cantonales peuvent déposer une demande auprès de l'ODM afin qu'il ordonne une interdiction d'entrée.</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proportionnalité (cf. ANDREAS ZÜND / LADINA ARQUINT HILL, Beendigung der Anwesenheit, Entfernung und Fernhaltung, in Ausländerrecht, Eine umfassende Darstellung der Rechtsstellung von Ausländerrinnen und Ausländern in der Schweiz von A(syl) bis Z(ivilrecht), 2ème éd., PETER UEBERSAX / BEAT RUDIN / THOMAS HUGI YAR / THOMAS GEISER [éd.], Bâle 2009, p. 356).</w:t>
      </w:r>
    </w:p>
    <w:p>
      <w:r>
        <w:rPr>
          <w:b/>
        </w:rPr>
        <w:t>E. 5</w:t>
      </w:r>
    </w:p>
    <w:p>
      <w:r>
        <w:t>En l'espèce, l'ODM a prononcé à l'encontre de A._______ une décision d'interdiction d'entrée fondée sur l'art. 67 al. 1 let. a LEtr, estimant que le recourant avait attenté, par ses entrées et ses séjours illégaux en Suisse, à la sécurité et l'ordre publics.</w:t>
      </w:r>
    </w:p>
    <w:p>
      <w:r>
        <w:rPr>
          <w:b/>
        </w:rPr>
        <w:t>E. 5.1</w:t>
      </w:r>
    </w:p>
    <w:p>
      <w:r>
        <w:t>Au regard du dossier de la cause, force est de constater que le recourant a volontairement et à plusieurs reprises violé des prescriptions légales, commettant des infractions pour lesquelles il a par ailleurs été sanctionné pénalement. La commission répétée d'infractions aux dispositions de police des étrangers - A._______ a séjourné et travaillé sans autorisation et a pénétré sur le territoire suisse alors qu'il était sous le coup d'une interdiction d'entrée valable du 13 juin 2005 au 12 juin 2008 - tend à montrer que le recourant n'est pas apte, nonobstant ses affirmations, "à se conformer à l'ordre juridique suisse et aux us et coutumes du pays qui l'accueille" (cf. Message du Conseil fédéral précité, FF 2002 3518). Par décision du 25 août 2008, A._______ s'est en outre vu notifier une décision de renvoi de Suisse, élément qui, au regard de l'art. 67 al. 1 let. c LEtr, autorisait, à lui seul, l'ODM à prendre une décision d'interdiction d'entrée. De plus, le comportement du recourant, lequel a notamment caché, lors d'un contrôle de police effectué le 24 août 2008, sa véritable identité en se faisant passer pour son frère (cf. procès-verbal d'audition de la Police cantonale du canton de Fribourg daté du 24 août 2008), dénote un manque coupable de respect envers les autorités suisses. Le Tribunal ne peut passer sous silence le fait que A._______ n'ignorait pas se trouver, lors de ses séjours en Suisse, en situation illégale, par opposition à la situation de son frère, B._______, lequel séjourne et travaille légalement sur territoire helvétique.</w:t>
      </w:r>
    </w:p>
    <w:p>
      <w:r>
        <w:rPr>
          <w:b/>
        </w:rPr>
        <w:t>E. 5.2</w:t>
      </w:r>
    </w:p>
    <w:p>
      <w:r>
        <w:t>Par conséquent, l'autorité de céans juge que l'intéressé représente un danger pour la sécurité et l'ordre publics, de sorte qu'il se justifie de prononcer une interdiction d'entrée à son encontre. L'intérêt de la Confédération commande de maintenir éloignés de son territoire les ressortissants étrangers ayant commis des crimes ou des délits dans leur pays d'origine ou à l'étranger, afin de prévenir la commission d'infractions sur le sol helvétique et d'assurer la protection de la collectivité. C'est dès lors à raison que l'autorité intimée a jugé que A._______ avait attenté à la sécurité et à l'ordre publics au sens de l'art. 67 al. 1 let. a LEtr.</w:t>
      </w:r>
    </w:p>
    <w:p>
      <w:r>
        <w:rPr>
          <w:b/>
        </w:rPr>
        <w:t>E. 6.1</w:t>
      </w:r>
    </w:p>
    <w:p>
      <w:r>
        <w:t>Doit encore être examinée la conformité de ladite interdiction avec les principes de proportionnalité et d'égalité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6.3</w:t>
      </w:r>
    </w:p>
    <w:p>
      <w:r>
        <w:t>L'interdiction d'entrée prononcée à l'endroit de A._______ est une mesure administrative de contrôle qui tend à le tenir éloigné de Suisse où il a gravement contrevenu aux prescriptions de police des étrangers et commis plusieurs infractions. Il en va de l'intérêt de l'Etat à voir respectés l'ordre établi et la législation en vigueur (cf. arrêt du Tribunal administratif fédéral C-5479/2008 du 24 juillet 2009 consid. 6.2.2). Les infractions reprochées à l'intéressé revêtent une certaine gravité. Il convient en particulier de souligner que sans les interpellations des 24 août 2008 et 11 mars 2009, A._______ aurait vraisemblablement poursuivi ses habitudes consistant à prendre périodiquement, de manière illégale, des emplois lors de ses séjours épisodiques en Suisse. L'intérêt privé du recourant à pouvoir se déplacer librement en Suisse, en particulier pour rendre visite à son frère, ne saurait, dans ces conditions, être considéré comme prépondérant par rapport à l'intérêt public à son éloignement. Au vu de l'ensemble des éléments objectifs et subjectifs de la cause, le Tribunal estime que l'interdiction d'entrée en Suisse prononcée par l'autorité intimée, limitée dans le temps au 31 août 2011,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Finalement, l'intéressé estime, dans son recours, que "selon l'accord de la Suisse avec l'Espace [Schengen], un ressortissant d'un pays-[tiers] muni [d'un] visa [Schengen] peut voyager partout en Europe, y compris [en] Suisse". En réponse à ce grief, il convient de relever qu'en l'espèce, contrairement à ce qu'affirme le recourant, le visa qu'il a produit en annexe à son pourvoi n'est pas un visa Schengen. En effet, en comparant la photocopie du visa produite au dossier avec le visa Schengen, le Tribunal de céans ne peut que constater un nombre conséquent de différences - concernant notamment la place des nom et prénom du recourant, l'indication de la date de naissance de ce dernier ainsi que l'absence des rubriques "valable pour", "type de visa", "nombre d'entrées" et "durée du séjour", - et en conclut que le document présenté, qui ne saurait être qualifié de visa Schengen, n'autorisait pas le recourant à circuler librement dans l'Espace Schengen.</w:t>
      </w:r>
    </w:p>
    <w:p>
      <w:r>
        <w:rPr>
          <w:b/>
        </w:rPr>
        <w:t>E. 8</w:t>
      </w:r>
    </w:p>
    <w:p>
      <w:r>
        <w:t>En conclusion, par sa décision du 1er septembre 2008, l'ODM n'a ni violé le droit fédéral, ni constaté des faits pertinents de manière inexacte ou incomplète. En outre, la mesure attaquée n'apparaît pas comme étant inopportune (cf. art. 49 PA). En conséquence, le recours est rejeté. Dès lors, vu l'issue de la cause, il convient de mettre les frais à la charge du recourant (cf. art. 63 al. 1 PA, en relation avec les art. 1 à 3 du règlement concernant les frais, dépens et indemnités fixés par le Tribunal administratif fédéral du 21 janvier 2008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