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C-2672/2015 vom 11. Februar 2016</w:t>
      </w:r>
    </w:p>
    <w:p>
      <w:r>
        <w:t>Bundesverwaltungsgericht, 2016-02-11, FR</w:t>
      </w:r>
    </w:p>
    <w:p>
      <w:r>
        <w:rPr>
          <w:b/>
        </w:rPr>
        <w:t xml:space="preserve">Quelle: </w:t>
      </w:r>
      <w:r>
        <w:t>https://mcp.opencaselaw.ch/entscheid/bvger_C-2672_2015</w:t>
      </w:r>
    </w:p>
    <w:p>
      <w:r>
        <w:t>FR: TAF C-2672/2015 du 11 février 2016</w:t>
      </w:r>
    </w:p>
    <w:p>
      <w:r>
        <w:t>IT: TAF C-2672/2015 del 11 febbraio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p. 3564 ad art. 61, et p. 3568 ad art. 66).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4.1</w:t>
      </w:r>
    </w:p>
    <w:p>
      <w:r>
        <w:t>Dans la mesure où le recourant, en tant que citoyen portugais, est un res­sortissant communautaire, il con­­­vient de vérifier si la mesure d'éloi­gne­ment prononcée à son endroit est conforme à l'ALCP (RS 0.142.112.681).</w:t>
      </w:r>
    </w:p>
    <w:p>
      <w:r>
        <w:rPr>
          <w:b/>
        </w:rPr>
        <w:t>E. 4.2</w:t>
      </w:r>
    </w:p>
    <w:p>
      <w:r>
        <w:t>La LEtr, selon son art. 2 al. 2, n'est applicable aux ressortissants des Etats membres de la Communauté européenne (CE) que si l'ALCP n'en dispose pas autre­ment ou si elle contient des dispositions plus favorables. L'ALCP ne réglemente pas en tant que telle l'interdiction d'entrée, si bien que l'art. 67 LEtr demeure applicable (cf. art. 24 de l'ordonnance du 22 mai 2002 sur l'introduction de la libre circulation des personnes ;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justifiées par des raisons d'ordre, de sécurité et de santé publiques. Le cadre et les modalités de cette disposition sont déterminés notamment par la directive 64/221/CEE du Conseil, du 25 février 1964, pour la coordination des mesures spéciales aux étrangers en matière de déplacement et de séjour justifiées par des raisons d'ordre public, de sécurité publique et de santé publique (JO 56 du 4 avril 1964, p. 850ss) et la jurisprudence y relative de la Cour de Justice des Com­mu­nautés européennes (CJCE) - devenue la Cour de Justice de l'Union européenne (CJUE) - rendue avant la signature, le 21 juin 1999, de l'ALCP (cf. art. 5 par. 2 annexe I ALCP, en relation avec l'art. 16 al. 2 ALCP ; ATF 139 II 121 consid. 5.3 ;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 au­­to­ma­tiquement -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 cf. également l'arrêt du TF 2C_436/2014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entre autre, les arrêts du TF 2C_436/2014 précité consid. 3.3, 2C_139/2014 du 4 juillet 2014 consid. 4.3).</w:t>
      </w:r>
    </w:p>
    <w:p>
      <w:r>
        <w:rPr>
          <w:b/>
        </w:rPr>
        <w:t>E. 4.4</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5.1</w:t>
      </w:r>
    </w:p>
    <w:p>
      <w:r>
        <w:t>En l'espèce, le Tribunal constate que A._______, déjà condamné à deux reprises, en 2004 et 2005, pour des infractions à la LStup, a fait l'objet d'une nouvelle condamnation, le 20 septembre 2012, par le Tribunal correctionnel de l'arrondissement de la Broye et du Nord vaudois (ci-après: le Tribunal correctionnel) à une peine privative de liberté de trois ans et à une amende de 200 francs, pour infraction grave et contravention à la LStup et infraction à la LEtr. Dans son jugement, le Tribunal correctionnel a considéré que la culpabilité de A._______ était très lourde, dès lors qu'il n'avait pas hésité par pur appât du gain à fournir d'importantes quantités de drogues à des revendeurs de rue. Le Tribunal correctionnel a constaté en outre que l'intéressé, déjà condamné deux fois pour des infractions identiques, n'avait tiré aucun enseignement des expériences passées, que seule son interpellation avait permis de mettre fin au trafic et que, plutôt que de collaborer à l'enquête, il avait tout fait pour la compliquer et se soustraire à ses responsabilités.</w:t>
      </w:r>
    </w:p>
    <w:p>
      <w:r>
        <w:rPr>
          <w:b/>
        </w:rPr>
        <w:t>E. 5.2</w:t>
      </w:r>
    </w:p>
    <w:p>
      <w:r>
        <w:t>Dans son mémoire de recours, l'intéressé s'est prévalu du temps écoulé depuis sa dernière condamnation du 20 septembre 2012, en alléguant qu'il ne consommait plus de stupéfiants et qu'il s'était éloigné du milieu social l'ayant amené à commettre de telles infractions, de sorte que le Tribunal pouvait raisonnablement considérer qu'il n'en commettrait pas de nouvelles. Il a dès lors contesté qu'il représentait toujours une menace actuelle, réelle et suffisamment grave pour l'ordre public au sens de la jurisprudence (cf. consid. 4.3 supra).</w:t>
      </w:r>
    </w:p>
    <w:p>
      <w:r>
        <w:rPr>
          <w:b/>
        </w:rPr>
        <w:t>E. 5.3</w:t>
      </w:r>
    </w:p>
    <w:p>
      <w:r>
        <w:t>Selon le Tribunal fédéral, pour déterminer si la menace est actuelle et réelle, c'est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 arrêts du TF 2C_121/2014 du 17 juillet 2014 consid. 3.2 et 2C_436/2014 précité consid. 3.3),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arrêts du TF 2C_741/2013 du 8 avril 2014 consid. 2.3 in fine et 2C_121/2014 précité consid. 4.3).</w:t>
      </w:r>
    </w:p>
    <w:p>
      <w:r>
        <w:rPr>
          <w:b/>
        </w:rPr>
        <w:t>E. 6.1</w:t>
      </w:r>
    </w:p>
    <w:p>
      <w:r>
        <w:t>Le Tribunal relève, en préambule, que le recourant a manqué à son devoir de collaboration dans la présente procédure, en ne fournissant que de manière très lacunaire les informations qui lui avaient été demandées le 10 novembre 2015 au sujet, d'une part, de ses lieux de séjour en Suisse et à l'étranger depuis son refoulement au Portugal le 11 juin 2013, d'autre part, de l'évolution de sa situation personnelle, professionnelle et familiale depuis le prononcé de la décision d'interdiction d'entrée du 20 juin 2014. Dans ces circonstances, le Tribunal se voit contraint de se prononcer en l'état du dossier, en fonction des éléments d'information qui y sont contenus, étant rappelé que, dans le cadre de l'appréciation des preuves, il est habilité à retenir en défaveur de la partie le refus par celle-ci de fournir les renseignements et moyens de preuve requis en violation de son devoir de collaborer (cf. art. 13 al. 1 let. a et al. 2 PA, en relation avec l'art. 90 LEtr, ainsi que l'art. 40 PCF [RS 273], applicable par renvoi de l'art. 19 PA; ATF 138 II 229 consid. 3.2.3, 130 II 449 consid. 6.6.1; Krauskopf/Emmenegger, in: Praxiskommentar VwVG, Waldmann/Weissenberger [éd.], 2009, ad art. 13, p. 309 n. 61; Christoph Auer, in: Auer/Müller/Schindler [éd.], Kommentar zum Bundesgesetz über das Verwaltungsverfahren [VwVG], 2008, ad art. 13, p. 230 ss spéc. n. 22 et 27). Dans le cadre de l'examen de l'existence d'une menace réelle et d'une certaine gravité affectant un intérêt fondamental de la société au sens de l'art. 5 Annexe I ALCP et de la jurisprudence y relative (cf. notamment ATF 139 II 121 consid. 5.3, 136 II 5 consid. 4.2 et la jurisprudence citée), l'évolution de la situation personnelle de l'intéressé depuis le prononcé de la mesure attaquée constitue un critère d'appréciation important. Cette question ne peut toutefois être examinée en l'espèce que sur la seule base des éléments que le recourant a bien voulu communiquer au Tribunal, soit le fait qu'il était revenu en Suisse et y exerçait une activité lucrative. Le recourant n'ayant toutefois ni allégué, ni à fortiori démontré, qu'il disposait d'une autorisation de séjour et de travail pour l'exercice de l'activité lucrative dont il se prévaut, le Tribunal est amené à en conclure que l'intéressé séjourne en Suisse en violation de l'interdiction d'entrée dont il fait l'objet et qu'il travaille en outre illégalement dans ce pays. Dans ces circonstances, on ne saurait nullement considérer que A._______ ait démontré, au travers d'un comportement irréprochable et d'une réintégration socio-professionnelle réussie à l'étranger, qu'il s'était amendé et qu'il avait établi qu'il ne représentait plus une menace pour l'ordre et la sécurité publics au sens de la jurisprudence rappelée au consid.4.3 supra.</w:t>
      </w:r>
    </w:p>
    <w:p>
      <w:r>
        <w:rPr>
          <w:b/>
        </w:rPr>
        <w:t>E. 6.2</w:t>
      </w:r>
    </w:p>
    <w:p>
      <w:r>
        <w:t>S'agissant des motifs ayant fondé l'interdiction d'entrée dont est recours, l'examen du dossier amène le Tribunal à conclure, au regard du comportement délictueux (caractérisé notamment par de multiples infractions à la LStup) que le recourant a adopté durant les années qu'il a passées en Suisse, que ses agissements constituent non seulement un trouble à l'ordre social mais encore affectent gravement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Tribunal administratif fédéral C-6835/2011 du 28 février 2013 consid. 5.1 et les arrêts cités). En conséquence, il y a donc lieu de retenir à ce stade que le recourant, quoiqu'il en dise, s'est rendu coupable d'infractions qui présentent objectivement une menace réelle et dont on ne saurait contester qu'elles affectent un intérêt fondamental de la société au sens de la jurisprudence de la Cour de Justice de l'Union européenne.</w:t>
      </w:r>
    </w:p>
    <w:p>
      <w:r>
        <w:rPr>
          <w:b/>
        </w:rPr>
        <w:t>E. 6.3</w:t>
      </w:r>
    </w:p>
    <w:p>
      <w:r>
        <w:t>Il convient encore d'examiner si cette menace est toujours d'actualité. En l'espèce, on ne saurait nier que l'intéressé a contribué à la mise en circulation d'importantes quantités de stupéfiants (soit de la cocaïne, dont il a vendu successivement entre 60 et 72 grammes, puis entre 100 et 150 grammes, puis une quantité indéterminée située entre 10 et 200 grammes et qu'il détenait encore 191 grammes de cette drogue, lors de la perquisition menée dans l'appartement qu'il occupait). Il ressort en outre du jugement du Tribunal correctionnel du 20 septembre 2012 que le recourant disposait de trafiquants travaillant pour son compte et auxquels il donnait des instructions sur les quantités à vendre et sur les prix à pratiquer (cf. page 21 du jugement du 20 septembre 2012), comportement par lequel il a contribué à mettre en danger la santé de nombreuses personnes au sens de l'art. 19 al. 2 let. a LStup. Il convient de relever au surplus que le recourant a ultérieurement manifesté un irrespect flagrant vis-à-vis des dispositions régissant le séjour des étrangers en Suisse et que l'on saurait donc considérer qu'il ait définitivement réussi sa réinsertion dans la société civile au travers d'un comportement irréprochable. Dans ces circonstances, compte tenu la nature et de la gravité des infractions pour lesquelles le recourant a été condamné en 2012 (soit la mise en circulation d'importantes quantités de stupéfiants) et vu la brève période écoulée depuis sa libération conditionnelle, ainsi que l'absence d'un pronostic favorable, le Tribunal considère que le palier II, qui présuppose une menace caractérisée, est, en l'espèce atteint, de sorte que la limite de la durée maximale prévue à l'art. 67 al. 3 première phrase LEtr peut être franchie.</w:t>
      </w:r>
    </w:p>
    <w:p>
      <w:r>
        <w:rPr>
          <w:b/>
        </w:rPr>
        <w:t>E. 6.4</w:t>
      </w:r>
    </w:p>
    <w:p>
      <w:r>
        <w:t>En conséquence, l'interdiction d'entrée prononcée à l'encontre de l'intéressé au sens de l'art. 67 al. 2 let. a LEtr en relation avec l'art. 5 annexe I ALCP est justifié dans son principe et c'est également à bon droit que le SEM a prononcé une interdiction d'entrée d'une durée supérieure à cinq ans au sens de l'art. 67 al. 3 2e phr. LEtr.</w:t>
      </w:r>
    </w:p>
    <w:p>
      <w:r>
        <w:rPr>
          <w:b/>
        </w:rPr>
        <w:t>E. 7.1</w:t>
      </w:r>
    </w:p>
    <w:p>
      <w:r>
        <w:t>Il convient encore d'examiner si cette mesure d'éloignement, d'une durée de dix ans, satisfait aux principes de proportionnalité et d'égalité de traitement.</w:t>
      </w:r>
    </w:p>
    <w:p>
      <w:r>
        <w:rPr>
          <w:b/>
        </w:rPr>
        <w:t>E. 7.2</w:t>
      </w:r>
    </w:p>
    <w:p>
      <w:r>
        <w:t>C'est le lieu de rappeler que lorsque l'autorité administrative pronon­ce une interdiction d'entrée, elle doit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L'exigence de proportionnalité à laquelle doivent satisfaire les me­su­res éta­tiques (telles les mesures d'éloignement), qui dé­cou­le notamment de l'art. 96 al. 1 LEtr, est aussi appli­ca­ble dans les domaines régis par l'ALCP (cf. arrêts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7.3</w:t>
      </w:r>
    </w:p>
    <w:p>
      <w:r>
        <w:t>Préalablement, il convient de relever que l'im­pos­si­bilité pour le re­cou­­­rant de résider durablement en Suis­se ne résulte pas de la mesure d'éloignement litigieuse, mais découle du fait qu'il n'est pas titulaire d'un titre de sé­jour dans ce pays.</w:t>
      </w:r>
    </w:p>
    <w:p>
      <w:r>
        <w:rPr>
          <w:b/>
        </w:rPr>
        <w:t>E. 7.4</w:t>
      </w:r>
    </w:p>
    <w:p>
      <w:r>
        <w:t>Il convient par ailleurs de rappeler qu'en cas d'infractions graves portant atteinte à des biens juridiques impor­tants (tel­les la vie, l'intégrité corporelle et la santé), au nombre desquelles figurent notamment les infractions graves à la législation sur les stu­­péfiants (en particulier le trafic de drogue pratiqué par appât du gain), les autorités helvétiques, à l'instar des instances européennes, se montrent particu­lièrement rigoureuses (cf. supra consid. 8.1 et 8.2.1 in fine). Aussi, dans de telles circonstances, un risque de récidive, même relativement faible, ne saurait en principe être toléré (cf. ATF 139 I 31 consid. 2.3.2, 139 I 16 consid. 2.2.1, 130 II 176 con­sid. 4.3.1 et réf. citées). Dans le cas d'espèce, comme relevé précédemment, les actes pour lesquels le recourant a été condamné sont particulièrement graves et justifient une intervention ferme des autorités à son endroit. En outre, en dépit de deux premières condamnations pour infractions à la LStup, l'intéressé n'a pas hésité à commettre de nouvelles graves infractions dans ce domaine, démontrant pas là qu'il ne voulait pas ou n'était pas capable de s'adapter à l'ordre établi en Suisse. Il exis­te donc in casu un intérêt public majeur à ce que les entrées de l'intéressé en Suisse soient contrôlées pendant un certain nombre d'années.</w:t>
      </w:r>
    </w:p>
    <w:p>
      <w:r>
        <w:rPr>
          <w:b/>
        </w:rPr>
        <w:t>E. 7.5</w:t>
      </w:r>
    </w:p>
    <w:p>
      <w:r>
        <w:t>Le Tribunal relève par ailleurs que la décision du SEM n'est pas contraire au principe d'égalité de traitement, au regard des décisions prises par les autorités dans des cas analogues. Sur ce dernier point, le recourant s'est prévalu de l'arrêt rendu par le Tribunal fédéral le 22 février 2013 en la cause 2C_318/2012), dans lequel la Haute Cour avait réduit à cinq ans la durée de l'interdiction d'entrée prononcée à l'endroit d'un ressortissant portugais qui avait fait l'objet de plusieurs condamnations en Suisse, notamment pour des infractions à la LStup. Le Tribunal constate à ce propos que les deux causes ne sauraient être comparées, dès lors qu'elles présentent des différences notables sur des éléments d'appréciation importants (soit en particulier le degré de gravité de la condamnation la plus récente, ainsi que le comportement des intéressés depuis le prononcé de la décision attaquée). Aussi est-ce en vain que le recourant tente de se prévaloir d'une violation du principe de l'égalité de traitement en relation avec l'arrêt du Tribunal fédéral précité.</w:t>
      </w:r>
    </w:p>
    <w:p>
      <w:r>
        <w:rPr>
          <w:b/>
        </w:rPr>
        <w:t>E. 7.6</w:t>
      </w:r>
    </w:p>
    <w:p>
      <w:r>
        <w:t>En conséquence, compte tenu de l'ensemble des circonstances de la cause, en particulier de la nature et de la gravité des actes reprochés au recourant et de l'im­por­tance du risque de ré­ci­dive que laisse re­dou­ter son lourd passé judiciaire, ainsi que son comportement irrespectueux des lois suisses depuis son refoulement au Portugal en 2013, le Tri­bunal estime que la décision querellée n'est pas inopportune et respecte le principe de la proportionnalité. Il sied enfin de constater que c'est à juste titre que le SEM a limité la por­tée de cette mesure d'éloignement au seul territoire suisse, puisque le recourant est un ressor­tissant com­mu­­nau­taire. 8.En conséquence, le Tribunal est amené à conclure que la décision querellée est conforme au droit (cf. art. 49 PA). Le recours est en conséquence rejeté. Vu l'issue de la cause, les frais de la procédure sont mis à la charge du recourant (cf. art. 63 al. 1 1ère phra­se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