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C-2672/2012 vom 13. Februar 2013</w:t>
      </w:r>
    </w:p>
    <w:p>
      <w:r>
        <w:t>Bundesverwaltungsgericht, 2013-02-13, FR</w:t>
      </w:r>
    </w:p>
    <w:p>
      <w:r>
        <w:rPr>
          <w:b/>
        </w:rPr>
        <w:t xml:space="preserve">Quelle: </w:t>
      </w:r>
      <w:r>
        <w:t>https://mcp.opencaselaw.ch/entscheid/bvger_C-2672_2012</w:t>
      </w:r>
    </w:p>
    <w:p>
      <w:r>
        <w:t>FR: TAF C-2672/2012 du 13 février 2013</w:t>
      </w:r>
    </w:p>
    <w:p>
      <w:r>
        <w:t>IT: TAF C-2672/2012 del 13 febbraio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d'une décision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 2011/43 consid. 6.1).</w:t>
      </w:r>
    </w:p>
    <w:p>
      <w:r>
        <w:rPr>
          <w:b/>
        </w:rPr>
        <w:t>E. 3.1</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de la Constitution fédérale de la Confédération suisse du 18 avril 1999 (Cst., RS 101) et à l'art. 66 PA, qui prévoit le droit de demander la révision des décisions sur recours.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qu'il ne connaissait pas avant cette décision ou dont il n'avait pas alors la faculté - en droit ou de fait - ou un motif suffisant de se prévaloir, ou lorsque les circonstances se sont modifiées dans une mesure notable depuis que la première décision a été rendue (dans cette dernière hypothèse, la jurisprudence utilise également le terme de "demande d'adaptation"; cf. ATAF 2010/27 consid. 2.1, 2010/5 consid. 2.1.1, ainsi que la doctrine et la jurisprudence citées; voir également l'ATF 136 II 177, consid. 2.1, ainsi que les arrêts du Tribunal fédéral 2C_335/2009 du 12 février 2010 consid. 2.1.1 et 2C_38/2008 du 2 mai 2008 consid. 3.1).</w:t>
      </w:r>
    </w:p>
    <w:p>
      <w:r>
        <w:rPr>
          <w:b/>
        </w:rPr>
        <w:t>E. 3.2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(cf. ATAF 2010/27 précité, consid. 2.1.1).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En d'autres termes, il est né­cessaire que la modification des circonstances soit décisive et que les moyens de preuve offerts soient propres à l'établir (cf. ATF 131 II 329 consid. 3.2; voir également l'arrêt du Tribunal C-5867/2009 du 15 avril 2011 consid. 2.2 et les réf. citées).</w:t>
      </w:r>
    </w:p>
    <w:p>
      <w:r>
        <w:rPr>
          <w:b/>
        </w:rPr>
        <w:t>E. 4.1</w:t>
      </w:r>
    </w:p>
    <w:p>
      <w:r>
        <w:t>Lorsque l'autorité de première instance n'est pas entrée en matière sur une demande de réexamen, le requérant peut alors attaquer la nouvelle décision uniquement en alléguant que l'autorité inférieure a nié à tort l'existence des conditions requises pour l'obliger à statuer au fond, et l'autorité de recours ne peut qu'inviter cette dernière à examiner la demande au fond, si elle admet le recours (cf. ATF 135 II 38 consid. 1.2; voir aussi l'ATAF 2010/27 précité, consid. 2.1.3 et les réf. citées). Les conclusions du recourant (soit "l'objet du litige" ou "Streitgegenstand") sont donc limitées par les questions tranchées dans le dispositif de la décision querellée (soit "l'objet de la contestation" ou "Anfechtungsgegenstand") et celles qui en sortent, en particulier les questions portant sur le fond de l'affaire, ne sont pas recevables (cf. ATF 131 II 200 consid. 3.2, 130 V 138 consid. 2.1, 125 V 413 consid. 1 et jurisp. cit.; Pierre Moor, Droit administratif, vol. II : Les actes administratifs et leur contrôle, Berne 1991, p. 438, 444 et 446s.). Il suit de ce qui précède que la conclusion de la recourante, en tant qu'elle vise à l'octroi de l'autorisation d'entrée sollicitée par B._______ pour un séjour d'un mois en Suisse, n'est pas recevable.</w:t>
      </w:r>
    </w:p>
    <w:p>
      <w:r>
        <w:rPr>
          <w:b/>
        </w:rPr>
        <w:t>E. 4.2</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précité, ibid., et 127 I 133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 Seuls des faits qui sont véritablement nouveaux ou que les recourants ignoraient, ou n'avaient pas de raisons d'invoquer à cette époque, voire un changement notable des circonstances, sont susceptibles d'ouvrir la voie du réexamen (cf. supra consid. 3.1).</w:t>
      </w:r>
    </w:p>
    <w:p>
      <w:r>
        <w:rPr>
          <w:b/>
        </w:rPr>
        <w:t>E. 5.1</w:t>
      </w:r>
    </w:p>
    <w:p>
      <w:r>
        <w:t>En l'espèce, il convient de rappeler préalablement que dans sa décision de refus d'autorisation d'entrée dans l'Espace Schengen du 8 septembre 2011, l'autorité inférieure a considéré que malgré le fait que B._______ disposait d'un travail en Turquie, la sortie de l'Espace Schengen du prénommé à l'issue du séjour envisagé ne pouvait pas être considérée comme suffisamment garantie, compte tenu de l'ensemble des éléments du dossier, en particulier du fait qu'il n'avait pas de lien de parenté avec son hôtesse, de sa situation personnelle de jeune homme, célibataire et bénéficiant d'un revenu modeste et du fait qu'il était disposé à quitter son emploi durant un mois, ces éléments étant pris en considération dans le contexte de la situation socio-économique prévalant dans son pays d'origine. Il est encore à souligner que cette décision est entrée en force suite à l'arrêt du Tribunal du 4 novembre 2011, déclarant irrecevable le recours daté du 22 octobre 2011 parce que tardif.</w:t>
      </w:r>
    </w:p>
    <w:p>
      <w:r>
        <w:rPr>
          <w:b/>
        </w:rPr>
        <w:t>E. 5.2</w:t>
      </w:r>
    </w:p>
    <w:p>
      <w:r>
        <w:t>A l'appui de sa requête du 29 mars 2012 tendant au réexamen de la décision de l'ODM du 8 septembre 2011 et dans son pourvoi du 15 mai 2012, A._______ a fait valoir pour l'essentiel que B._______ qui avait sa famille en Turquie et y disposait d'un emploi stable et enviable, possédait des attaches étroites dans son pays, que son employeur lui accordait un mois de vacances pour autant qu'il ne s'absente pas durant les mois de juin, juillet et août et, enfin, qu'elle se rendait elle-même régulièrement en Turquie et était disposée à accompagner l'intéressé lors de son déplacement en Suisse et à son retour en Turquie. Selon l'intéressée, la sortie de Suisse de B._______ à l'issue du séjour de visite devait être considérée comme assurée. A._______ a joint à sa demande de réexamen une attestation établie le 23 février 2012 par l'employeur de B._______, confirmant que le prénommé pouvait prendre un mois de vacances, excepté durant les mois de juin, juillet et août, ainsi qu'un écrit établi le 24 février 2012 aux termes duquel elle s'engageait à accompagner B._______ lors de son voyage aller-retour en Suisse et à prendre l'intégralité de ses frais de séjour et d'assurance à sa charge. Le Tribunal doit cependant constater que les éléments précités sur lequel A._______ a fondé sa demande de réexamen auraient dû être invoqués lors de la procédure ordinaire relative à la première demande d'entrée du 5 août 2011. En effet, le fait nouveau, comme la preuve nouvelle, implique que le requérant n'ait pu l'invoquer sans sa faute dans la procédure précédente. Le requérant doit par conséquent avoir fait preuve de toute la diligence nécessaire pour réunir ses preuves (Poudret / Sandoz, Commentaire de la loi fédérale d'organisation judiciaire, vol. V, Berne 1992, p. 32, n. 2.3.5). Ces éléments ne peuvent donc être considérés comme faits nouveaux importants, ou nouveau moyen de preuve, au sens de la jurisprudence et de la doctrine restrictives citées plus haut (cf. consid. 3.2 ci-dessus), susceptibles de justifier le réexamen de la décision du 8 septembre 2011. En l'espèce, le recours daté du 22 octobre 2011 ayant été déclaré irrecevable par arrêt du Tribunal du 4 novembre 2011, A._______, qui souhaitait un nouvel examen de la situation de B._______ et désirait produire à cette occasion des moyens de preuve supplémentaires, comme l'attestation de l'employeur du 24 février 2012 et son propre engagement d'accompagner son invité lors de sa venue en Suisse et de son retour au pays, aurait dû inviter le prénommé à déposer une nouvelle demande d'entrée en Suisse auprès de l'Ambassade de Suisse à Ankara et non pas demander le réexamen de la décision en force de l'ODM du 8 septembre 2011. Par le biais de la demande de réexamen du 29 mars 2012 d'une décision en force et exécutoire, A._______ a limité le pouvoir d'examen de l'ODM à l'existence ou non de faits nouveaux et de nouveaux moyens de preuve, qui n'étaient manifestement pas réalisés en l'espèce.</w:t>
      </w:r>
    </w:p>
    <w:p>
      <w:r>
        <w:rPr>
          <w:b/>
        </w:rPr>
        <w:t>E. 5.3</w:t>
      </w:r>
    </w:p>
    <w:p>
      <w:r>
        <w:t>Il convient au surplus de relever qu'entre la première décision de l'ODM du 8 septembre 2011 et la décision de l'ODM du 16 avril 2012, la simple modification des dates du séjour projeté en Suisse et une évolution normale de la situation de B._______, ne constituent de toute façon pas, à proprement parler, des faits nouveaux qui auraient pu entraîner une modification substantielle de la situation du prénommé. A cet égard, la jurisprudence citée précédemment au considérant 3.3 souligne que le réexamen d'une décision ne peut avoir pour résultat d'obtenir une nouvelle appréciation de faits connus lors de ladite décision.</w:t>
      </w:r>
    </w:p>
    <w:p>
      <w:r>
        <w:rPr>
          <w:b/>
        </w:rPr>
        <w:t>E. 5.4</w:t>
      </w:r>
    </w:p>
    <w:p>
      <w:r>
        <w:t>Dès lors, force est de constater que la recourante n'a avancé aucun fait ou moyen de preuve nouveau important, ni changement de circonstances, depuis le prononcé de la décision du 8 septembre 2011, propre à justifier le réexamen de cette décision. Par conséquent, c'est à bon droit que l'autorité inférieure n'est pas entrée en matière sur la demande de réexamen de l'intéressée.</w:t>
      </w:r>
    </w:p>
    <w:p>
      <w:r>
        <w:rPr>
          <w:b/>
        </w:rPr>
        <w:t>E. 6</w:t>
      </w:r>
    </w:p>
    <w:p>
      <w:r>
        <w:t>Compte tenu des considérants exposés ci-dessus, il appert que la décision du 16 avril 2012 de l'ODM est conforme au droit (art. 49 PA). En conséquence, le recours est rejeté, dans la mesure où il est recevable.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