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C-266/2015 vom 5. August 2015</w:t>
      </w:r>
    </w:p>
    <w:p>
      <w:r>
        <w:t>Bundesverwaltungsgericht, 2015-08-05, FR</w:t>
      </w:r>
    </w:p>
    <w:p>
      <w:r>
        <w:rPr>
          <w:b/>
        </w:rPr>
        <w:t xml:space="preserve">Quelle: </w:t>
      </w:r>
      <w:r>
        <w:t>https://mcp.opencaselaw.ch/entscheid/bvger_C-266_2015</w:t>
      </w:r>
    </w:p>
    <w:p>
      <w:r>
        <w:t>FR: TAF C-266/2015 du 5 août 2015</w:t>
      </w:r>
    </w:p>
    <w:p>
      <w:r>
        <w:t>IT: TAF C-266/2015 del 5 agosto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le SEM - lequel constitue une unité de l'administration fédérale telle que définie à l'art. 33 let. d LTAF - en matière d'interdiction d'entrée en Suisse sont susceptibles de recours au Tribunal, qui statue de manière définitive (cf. art. 1 al. 2 LTAF en relation avec l'art. 83 let. c ch. 1 LTF).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w:t>
      </w:r>
    </w:p>
    <w:p>
      <w:r>
        <w:rPr>
          <w:b/>
        </w:rPr>
        <w:t>E. 3.4</w:t>
      </w:r>
    </w:p>
    <w:p>
      <w:r>
        <w:t>Dans le cas particulier, l'instance inférieure est entrée en matière sur la demande de réexamen du recourant, a procédé à un examen matériel et, sur cette base, rendu une nouvelle décision. Le Tribunal dispose par conséquent d'un plein pouvoir d'examen pour déterminer si l'interdiction qui frappe A._______ telle qu'elle a été reconsidérée par l'autorité intimée par décision du 26 novembre 2014 est conforme au droit (cf. l'arrêt du Tribunal administratif fédéral C-4750/2014 du 13 mai 2015 consid. 2 et les références citées).</w:t>
      </w:r>
    </w:p>
    <w:p>
      <w:r>
        <w:rPr>
          <w:b/>
        </w:rPr>
        <w:t>E. 4.1</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4.2</w:t>
      </w:r>
    </w:p>
    <w:p>
      <w:r>
        <w:t>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4.3</w:t>
      </w:r>
    </w:p>
    <w:p>
      <w:r>
        <w:t>Selon l'art. 67 al. 3 LEtr, l'interdiction d'entrée est prononcée pour une durée maximale de cinq ans (art. 67 al. 3 première phrase LEtr). Elle peut toutefois être prononcée pour une plus longue durée lorsque la personne concernée constitue une menace grave pour la sécurité et l'ordre publics (art. 67 al. 3 seconde phrase LEtr).</w:t>
      </w:r>
    </w:p>
    <w:p>
      <w:r>
        <w:rPr>
          <w:b/>
        </w:rPr>
        <w:t>E. 4.4</w:t>
      </w:r>
    </w:p>
    <w:p>
      <w:r>
        <w:t>Selon la jurisprudence du Tribunal fédéral,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(cf. ATF 139 II 121 consid. 6.3).</w:t>
      </w:r>
    </w:p>
    <w:p>
      <w:r>
        <w:rPr>
          <w:b/>
        </w:rPr>
        <w:t>E. 5</w:t>
      </w:r>
    </w:p>
    <w:p>
      <w:r>
        <w:t>A ce stade, il convient donc d'examiner si c'est à bon droit que l'instance inférieure a estimé que les arguments avancés par le recourant à l'appui de sa demande de reconsidération n'étaient susceptibles de justifier ni la levée de l'interdiction d'entrée en Suisse prononcée à son endroit en date du 20 décembre 2011, ni une réduction plus significative de la durée de cette mesure.</w:t>
      </w:r>
    </w:p>
    <w:p>
      <w:r>
        <w:rPr>
          <w:b/>
        </w:rPr>
        <w:t>E. 5.1</w:t>
      </w:r>
    </w:p>
    <w:p>
      <w:r>
        <w:t>A l'appui de son pourvoi, le recourant a en particulier souligné que l'autorité de première instance n'avait pas suffisamment tenu compte du fait que les condamnations pénales dont il avait fait l'objet devaient être mises en relation avec son addiction à des produits stupéfiants et qu'il était désormais abstinent de toute intoxication à des substances prohibées. Force est toutefois de constater que selon le jugement du Tribunal correctionnel de l'arrondissement de Lausanne du 20 janvier 2011, A._______, n'étant plus lui-même consommateur, a agi par pur appât du gain, lorsqu'il a commis les infractions qui lui ont valu sa plus lourde condamnation en Suisse, soit une peine privative de liberté de 28 mois (cf. notamment pt. 3.2.1 p. 44 du jugement du 20 janvier 2011). Il ressort par ailleurs des pièces du dossier que la condamnation prononcée le 27 février 2008 portait sur un trafic d'héroïne, produit dont le recourant n'était pas ou plus consommateur lorsqu'il a commis les infractions en question (cf. l'arrêt du tribunal cantonal du 11 août 2010 p. 11). Dans ces conditions et sans vouloir remettre en cause les efforts de l'intéressé qui a effectué une cure de désintoxication et qui a réussi à être abstinent, le Tribunal ne saurait suivre le recourant lorsqu'il affirme que l'instance inférieure n'a pas suffisamment pris en considération son abstinence et le lien entre ses condamnations et son addiction à des produits stupéfiants.</w:t>
      </w:r>
    </w:p>
    <w:p>
      <w:r>
        <w:rPr>
          <w:b/>
        </w:rPr>
        <w:t>E. 5.2</w:t>
      </w:r>
    </w:p>
    <w:p>
      <w:r>
        <w:t>Sur un autre plan, le recourant a estimé qu'on ne pouvait plus considérer qu'il constituait un danger pour l'ordre et la sécurité publics en Suisse, puisque la dernière condamnation importante dont il avait fait l'objet remontait à janvier 2011. Cela étant, le Tribunal ne saurait faire abstraction du fait que le recourant a fait l'objet de deux nouvelles condamnations depuis lors. Il a ainsi été condamné, le 11 juin 2013, à une peine privative de liberté de quatre mois pour agression (infraction commise en août 2011, soit quelques mois après sa condamnation du 20 janvier 2011). En outre, le 5 juillet 2013, le Ministère public de l'arrondissement de La Côte a condamné A._______ à 60 jours-amende à 30 francs pour entrée et séjours illégaux (infractions commises entre mars et mai 2013). Si ces actes ne sauraient certes pas être comparés aux infractions pour lesquelles A._______ a été condamné respectivement le 20 janvier 2011, le 27 février 2008 et le 1er mai 2000, ils démontrent tout de même que le prénommé continue à éprouver de réelles difficultés à se conformer à l'ordre juridique suisse. Sur un autre plan, le Tribunal observe que A._______ n'a fourni aucune indication propre à établir qu'il a réussi à se créer, dans son pays d'origine, une situation socioprofessionnelle stable permettant de poser un pronostic favorable à son égard. Il ressort au contraire de son courrier du 19 mars 2015 qu'il ne dispose d'aucun revenu en Albanie. Par conséquent, compte tenu de la gravité des infractions que le recourant a commises en Suisse, du fait que sa dernière condamnation pénale ne remonte qu'à juillet 2013 et qu'au vu des pièces du dossier, l'intéressé n'a pas réussi à se créer une situation socioprofessionnelle stable en Albanie permettant de poser un pronostic favorable à son égard, le Tribunal estime que le risque de réitération d'actes délictueux de la part du recourant ne saurait être minimisé.</w:t>
      </w:r>
    </w:p>
    <w:p>
      <w:r>
        <w:rPr>
          <w:b/>
        </w:rPr>
        <w:t>E. 5.3</w:t>
      </w:r>
    </w:p>
    <w:p>
      <w:r>
        <w:t>Dans ces circonstances, c'est à bon droit que l'instance inférieure a retenu que les arguments avancés par le recourant en lien avec son abstinence et le temps écoulé depuis sa dernière condamnation importante n'étaient pas susceptibles de justifier la levée de la mesure d'éloignement prononcée à son endroit.</w:t>
      </w:r>
    </w:p>
    <w:p>
      <w:r>
        <w:rPr>
          <w:b/>
        </w:rPr>
        <w:t>E. 5.4</w:t>
      </w:r>
    </w:p>
    <w:p>
      <w:r>
        <w:t>En outre, compte tenu de la nature et de la gravité des infractions dont le recourant s'est rendu coupable en Suisse, du fait qu'il a récidivé en matière d'infractions contre la LStup, ainsi que de l'absence, en l'état, d'un pronostic favorable, vu l'absence de situation socioprofessionnelle stable et les condamnations dont l'intéressé a fait l'objet en 2013, il y a lieu de considérer qu'il existe toujours une menace caractérisée, de sorte que la limite de la durée maximale prévue à l'art. 67 al. 3 première phrase LEtr peut être franchie (cf. consid. 4.4 supra).</w:t>
      </w:r>
    </w:p>
    <w:p>
      <w:r>
        <w:rPr>
          <w:b/>
        </w:rPr>
        <w:t>E. 5.5</w:t>
      </w:r>
    </w:p>
    <w:p>
      <w:r>
        <w:t>C'est ici le lieu de rappeler que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les arrêts du Tribunal administratif fédéral C-4334/2014 du 19 mai 2015 consid. 6.5.2, C-4750/2014 consid. 5.2, C-660/2013 du 21 avril 2015 consid. 6.2 et C-6825/2013 du 20 avril 2015 5.2 in fine et jurisprudence citée).</w:t>
      </w:r>
    </w:p>
    <w:p>
      <w:r>
        <w:rPr>
          <w:b/>
        </w:rPr>
        <w:t>E. 6</w:t>
      </w:r>
    </w:p>
    <w:p>
      <w:r>
        <w:t>A l'appui de son recours, le prénommé s'est également prévalu de l'art. 8 CEDH, en arguant que la décision attaquée l'empêchait d'entretenir des relations avec sa famille domiciliée en Suisse.</w:t>
      </w:r>
    </w:p>
    <w:p>
      <w:r>
        <w:rPr>
          <w:b/>
        </w:rPr>
        <w:t>E. 6.1</w:t>
      </w:r>
    </w:p>
    <w:p>
      <w:r>
        <w:t>A l'instar du refus d'une autorisation de séjour, l'interdiction d'entrer en Suisse peut effectivement comporter une ingérence dans la vie privée et familiale garantie par l'art. 8 par. 1 CEDH. Pour que l'étranger puisse se prévaloir de cette disposition, il doit entretenir une relation étroite et effective avec une personne de sa famille disposant d'un droit de présence durable en Suisse (cf. ATF 135 I 143 consid. 1.3.1, 131 II 265 consid. 5). Il est en outre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6.2</w:t>
      </w:r>
    </w:p>
    <w:p>
      <w:r>
        <w:t>A titre préalable, il sied de noter qu'au vu des pièces du dossier, la situation familiale de l'intéressé ne s'est pas modifiée de manière notable depuis le prononcé de la décision du 20 décembre 2011. A ce sujet, il convient notamment de rappeler que depuis octobre 2009, l'intéressé et son épouse ne disposent plus de la garde de leurs enfants laquelle a été confiée au Service de la protection de la jeunesse, le père et la mère bénéficiant d'un droit de visite. Par ailleurs, dans la mesure où il s'agit de circonstances qui existaient déjà au moment du prononcé de la décision dont le réexamen est demandée, la fragilité de l'état de santé de l'épouse de A._______ et le soutien apporté par ce dernier à sa conjointe ne sauraient constituer une modification notable des circonstances depuis le prononcé de la décision du 20 décembre 2011.</w:t>
      </w:r>
    </w:p>
    <w:p>
      <w:r>
        <w:rPr>
          <w:b/>
        </w:rPr>
        <w:t>E. 6.3</w:t>
      </w:r>
    </w:p>
    <w:p>
      <w:r>
        <w:t>En outre, il s'impose de relever que l'impossibilité pour A._______ de mener durablement une vie familiale en Suisse ne résulte pas de la mesure attaquée, mais découle du fait que les autorités compétentes ont refusé de renouveler son autorisation de séjour en Suisse. Il s'ensuit que l'appréciation de la situation de l'intéressé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son épouse et ses filles domiciliées en Suisse.</w:t>
      </w:r>
    </w:p>
    <w:p>
      <w:r>
        <w:rPr>
          <w:b/>
        </w:rPr>
        <w:t>E. 6.4</w:t>
      </w:r>
    </w:p>
    <w:p>
      <w:r>
        <w:t>S'agissant des intérêts publics et privés en cause, il convient de rappeler que le recourant a fait l'objet de diverses condamnations durant son séjour sur le sol helvétique, dont trois condamnations à des peines privatives de liberté de longue durée (soit de 18 mois [le 1er mai 2000], de 24 mois [le 27 février 2008] et de 28 mois [le 20 janvier 2011]). Le recourant a notamment commis des infractions graves contre la LStup, un domaine dans lequel les autorités doivent se montrer particulièrement rigoureuses (cf. consid. 5.5 supra et références citées). En outre, comme relevé plus haut, le risque de réitération d'actes délictueux de la part du recourant ne saurait être minimisé (cf. consid. 5.2 supra).</w:t>
      </w:r>
    </w:p>
    <w:p>
      <w:r>
        <w:rPr>
          <w:b/>
        </w:rPr>
        <w:t>E. 6.5</w:t>
      </w:r>
    </w:p>
    <w:p>
      <w:r>
        <w:t>Quant à la situation familiale du recourant, on ne saurait perdre de vue que l'intéressé ne dispose que d'un droit de visite sur ses enfants, leur garde ayant été confiée au Service de la protection de la jeunesse, au motif que les parents n'arrivaient plus à assumer leurs tâches éducatives ni à assurer à leurs filles un cadre de vie stable et sécurisant. Il sied par ailleurs de noter que les liens familiaux du recourant ne l'ont pas empêché de récidiver en matière de trafic de stupéfiants, alors même qu'il avait été averti de manière claire par l'autorité cantonale compétente qu'un comportement pénalement répréhensible conduirait à son renvoi de Suisse (sur l'ensemble de ces éléments, cf. également l'arrêt du tribunal cantonal du 11 août 2010 pp. 10ss).</w:t>
      </w:r>
    </w:p>
    <w:p>
      <w:r>
        <w:rPr>
          <w:b/>
        </w:rPr>
        <w:t>E. 6.6</w:t>
      </w:r>
    </w:p>
    <w:p>
      <w:r>
        <w:t>En conséquence, compte tenu de la nature et de la gravité des infractions pour lesquelles le recourant a été sanctionné pénalement durant son séjour en Suisse et du fait que le risque de récidive ne saurait être minimisé, le Tribunal considère que l'intérêt public à son éloignement du sol helvétique prévaut sur son intérêt privé contraire à pouvoir se rendre librement dans ce pays pour y entretenir des relations familiales.</w:t>
      </w:r>
    </w:p>
    <w:p>
      <w:r>
        <w:rPr>
          <w:b/>
        </w:rPr>
        <w:t>E. 6.7</w:t>
      </w:r>
    </w:p>
    <w:p>
      <w:r>
        <w:t>En outre, il sied de relever qu'il est loisible au recourant de solliciter de l'autorité inférieure de manière ponctuelle la suspension provisoire de l'interdiction d'entrée querellée pour rencontrer sa famille en Suisse (cf. art. 67 al. 5 LEtr), comme il l'a déjà fait par le passé. En décembre 2014, l'autorité intimée a ainsi délivré un sauf-conduit à A._______ afin de lui permettre de passer les fêtes de fin d'année avec sa famille. A cela s'ajoute que les contacts entre le recourant et sa famille résidant en Suisse peuvent également être maintenus par d'autres moyens tels que la communication téléphonique et les visioconférences.</w:t>
      </w:r>
    </w:p>
    <w:p>
      <w:r>
        <w:rPr>
          <w:b/>
        </w:rPr>
        <w:t>E. 6.8</w:t>
      </w:r>
    </w:p>
    <w:p>
      <w:r>
        <w:t>Compte tenu des considérations qui précèdent, le Tribunal estime que l'interdiction d'entrée prononcée à l'endroit du prénommé ne complique pas de façon disproportionnée le maintien des relations familiales de ce dernier avec son épouse et ses filles domiciliées en Suisse. Partant, le grief tiré de la violation du droit au respect de la vie familiale garanti à l'art. 8 CEDH doit être écarté.</w:t>
      </w:r>
    </w:p>
    <w:p>
      <w:r>
        <w:rPr>
          <w:b/>
        </w:rPr>
        <w:t>E. 7</w:t>
      </w:r>
    </w:p>
    <w:p>
      <w:r>
        <w:t>Il sied d'examiner encore si la décision querellée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Tanquerel, op.cit., p. 187ss, p. 199ss et p. 204ss et PIERRE MOOR/ALEXANDRE FLÜCKIGER/VINCENT MARTENET,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7.2</w:t>
      </w:r>
    </w:p>
    <w:p>
      <w:r>
        <w:t>Concernant les deux premières règles susmentionnées, il est indéniable que l'éloignement de l'intéressé du territoire suisse est apte et nécessaire pour atteindre les buts visés, à savoir protéger l'ordre et la sécurité publics.</w:t>
      </w:r>
    </w:p>
    <w:p>
      <w:r>
        <w:rPr>
          <w:b/>
        </w:rPr>
        <w:t>E. 7.3</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7.4</w:t>
      </w:r>
    </w:p>
    <w:p>
      <w:r>
        <w:t>En l'espèce, le recourant s'est en particulier prévalu de ses attaches familiales sur le sol helvétique, en arguant que compte tenu de sa durée, la mesure d'éloignement l'empêchait durablement d'avoir des contacts réguliers avec son épouse et ses enfants. Il a par ailleurs exposé que la durée de l'interdiction d'entrée rendue à son endroit impliquait que ses deux filles seraient majeures depuis longtemps le jour où il pourra revenir librement en Suisse.</w:t>
      </w:r>
    </w:p>
    <w:p>
      <w:r>
        <w:rPr>
          <w:b/>
        </w:rPr>
        <w:t>E. 7.5</w:t>
      </w:r>
    </w:p>
    <w:p>
      <w:r>
        <w:t>Cela étant, eu égard à la nature et à la gravité des infractions pour lesquelles le recourant a été condamné durant son séjour en Suisse, du fait que le risque de réitération d'actes délictueux de la part du recourant ne saurait être minimisé (cf. consid. 5.2 supra) et de ce qui a été exposé au consid. 6.5 ci-dessus en lien avec sa situation familiale, l'intérêt privé de A._______ à pouvoir se rendre librement dans ce pays pour y entretenir des relations familiales ne saurait l'emporter sur l'intérêt public à son éloignement.</w:t>
      </w:r>
    </w:p>
    <w:p>
      <w:r>
        <w:rPr>
          <w:b/>
        </w:rPr>
        <w:t>E. 7.6</w:t>
      </w:r>
    </w:p>
    <w:p>
      <w:r>
        <w:t>Toutefois, au regard de l'ensemble des éléments objectifs et subjectifs de la cause, le Tribunal parvient à la conclusion que si la décision d'interdiction d'entrée telle qu'elle a été reconsidérée par l'autorité inférieure en date du 26 novembre 2014 est nécessaire et adéquate, la durée de cette mesure, eu égard aux décisions prises par les autorités dans des cas analogues, à la situation familiale du recourant, à son abstinence et au fait qu'il n'a pas récidivé en matière d'infractions à la LStup depuis sa condamnation en janvier 2011, paraît aujourd'hui disproportionnée et doit être réduite à dix ans.</w:t>
      </w:r>
    </w:p>
    <w:p>
      <w:r>
        <w:rPr>
          <w:b/>
        </w:rPr>
        <w:t>E. 8</w:t>
      </w:r>
    </w:p>
    <w:p>
      <w:r>
        <w:t>Le recours est en conséquence partiellement admis et la décision du SEM du 26 novembre 2014 est réformée en ce sens que les effets de l'interdiction d'entrée sont limités au 19 décembre 2021. Bien qu'elle succombe partiellement, l'autorité inférieure n'a pas à supporter de frais de procédure (art. 63 al. 2 PA). Compte tenu de l'issue de la cause, il y aurait lieu de mettre des frais réduits de procédure à la charge du recourant, lequel est toutefois dispensé de ces frais, dès lors qu'il a été mis au bénéfice de l'assistance judiciaire par décision du Tribunal du 26 mars 2015. 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globaux de son mandataire, le cas échéant pondérés, et en fonction de l'issue du litige. Le mandataire du recourant ayant été désigné comme avocat d'office pour la présente procédure, il y a lieu de lui allouer une indemnité pour les honoraires non couverts par les dépens qui sont alloués au recourant (art. 8 à 10 en relation avec l'art. 12 et l'art. 14 FITAF), ce dernier ayant l'obligation de rembourser ce montant s'il revient à meilleure fortune, conformément à l'art. 65 al. 4 PA. Faute de note d'honoraires produite par la mandataire, le Tribunal est fondé à estimer ses honoraires globaux, au vu de l'ensemble des circonstances du cas, de l'importance de l'affaire, du degré de difficulté de cette dernière et de l'ampleur du travail accompli par le mandataire, à Fr. 1'000.- TVA comprise. Vu l'issue du litige, le recourant a droit à des dépens correspondant à Fr. 300.-, le solde - soit Fr. 700.- - étant alloué à son mandataire au titre d'indemnité d'assistance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