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C-266/2006 vom 26. November 2008</w:t>
      </w:r>
    </w:p>
    <w:p>
      <w:r>
        <w:t>Bundesverwaltungsgericht, 2008-11-26, FR</w:t>
      </w:r>
    </w:p>
    <w:p>
      <w:r>
        <w:rPr>
          <w:b/>
        </w:rPr>
        <w:t xml:space="preserve">Quelle: </w:t>
      </w:r>
      <w:r>
        <w:t>https://mcp.opencaselaw.ch/entscheid/bvger_C-266_2006</w:t>
      </w:r>
    </w:p>
    <w:p>
      <w:r>
        <w:t>FR: TAF C-266/2006 du 26 novembre 2008</w:t>
      </w:r>
    </w:p>
    <w:p>
      <w:r>
        <w:t>IT: TAF C-266/2006 del 26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de réexamen rendues par l'ODM en matière d'exception aux mesures de limitation (cf. art. 13 let. f OLE)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Les recours pendants devant les commissions fédérales de recours ou d'arbitrage ou devant les services de recours des départements au 1er janvier 2007 sont traités par le Tribunal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w:t>
      </w:r>
    </w:p>
    <w:p>
      <w:r>
        <w:rPr>
          <w:b/>
        </w:rPr>
        <w:t>E. 1.4</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1.5</w:t>
      </w:r>
    </w:p>
    <w:p>
      <w:r>
        <w:t>A moins que la LTAF n'en dispose autrement, la procédure devant le Tribunal est régie par la PA (cf. art. 37 LTAF). D._______, qui est directement touché par la décision querellée, a qualité pour recourir (cf. art. 48 al. 1 PA). Présenté dans les forme et délai légaux, son recours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des art. 8 et 29 al. 2 de la Constitution fédérale du 18 avril 1999 (Cst., RS 101;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et les références citées; JAAC 67.106 consid. 1 et les références citées; voir également ANDRÉ GRISEL, op. cit., p. 947ss). La procédure extraordinaire (de révision ou de réexamen) ne saurait toutefois servir de prétexte pour remettre continuellement en question des décisions entrées en force (ATF 127 I 133 consid. 6; 120 Ib 42 consid. 2b), ni surtout à éluder les dispositions légales sur les délais de recours (cf. ATF 120 Ib 42 consid. 2b et 109 Ib 246 consid. 4a; JAAC 67.109; Jurisprudence et informations de la Commission suisse de recours en matière d'asile [JICRA] 2000/24 consid. 5b p. 220). Elle ne saurait non plus viser à supprimer une erreur de droit (cf. ATF 111 Ib 209 consid. 1 in fine;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122 II 17 consid. 3, 110 V 138 consid. 2; JAAC 63.45 consid. 3a; GRISEL, op. cit., vol. II, p. 944; Alfred KÖLZ/ISABELLE HÄNER, Verwaltungsverfahren und Verwaltungsrechtpflege des Bundes, Zurich 1998, p. 156ss; KNAPP, op. cit., p. 276; FRITZ GYGI, Bundesverwaltungsrechtspflege, Berne 1983, p. 262s.; JEAN-FRANÇOIS POUDRET, Commentaire de la loi fédérale d'organisation judiciaire, vol. V, Berne 1992, p. 18, 27ss et 32ss).</w:t>
      </w:r>
    </w:p>
    <w:p>
      <w:r>
        <w:rPr>
          <w:b/>
        </w:rPr>
        <w:t>E. 3</w:t>
      </w:r>
    </w:p>
    <w:p>
      <w:r>
        <w:t>A l'appui de sa demande de réexamen du 16 juin 2005, D._______ se prévaut d'un changement de situation dû à la personnalité de K._______, au placement de son fils et aux modalités d'exercice de son droit de visite.</w:t>
      </w:r>
    </w:p>
    <w:p>
      <w:r>
        <w:rPr>
          <w:b/>
        </w:rPr>
        <w:t>E. 3.1</w:t>
      </w:r>
    </w:p>
    <w:p>
      <w:r>
        <w:t>S'agissant de la personnalité de la mère de l'enfant J._______, le Tribunal observe que les troubles dont souffre K._______ existaient selon toute vraisemblance déjà au moment où l'ODM a rendu sa première décision, puisqu'ils sont à l'origine du retrait de son droit de garde sur l'enfant intervenu le 28 mai 2003. En outre, une telle mesure ne se prend qu'après enquête approfondie de la part des autorités compétentes. Il ne s'agit par conséquent pas d'un élément nouveau au stade de la demande de réexamen. Aussi D._______ ne pouvait-il se prévaloir de ce fait dans sa requête du 16 juin 2005 pour prétendre que sa présence était devenue indispensable auprès de son fils depuis la décision de l'ODM du 27 août 2004.</w:t>
      </w:r>
    </w:p>
    <w:p>
      <w:r>
        <w:rPr>
          <w:b/>
        </w:rPr>
        <w:t>E. 3.2</w:t>
      </w:r>
    </w:p>
    <w:p>
      <w:r>
        <w:t>L'enfant J._______ se trouvait dans une famille d'accueil depuis mai 2003, avant d'être placé dans un foyer le 30 août 2004. Si D._______ entendait se prévaloir de ces faits, il aurait dû le faire en recourant contre la décision du 27 août 2004. Il sied en effet de rappeler que les motifs qui auraient pu être invoqués en procédure ordinaire dans le cadre d'un recours ne peuvent plus faire l'objet d'une demande de réexamen (cf. consid. 2 supra). Le placement de J._______ ne justifie donc pas le dépôt d'une telle demande.</w:t>
      </w:r>
    </w:p>
    <w:p>
      <w:r>
        <w:rPr>
          <w:b/>
        </w:rPr>
        <w:t>E. 4</w:t>
      </w:r>
    </w:p>
    <w:p>
      <w:r>
        <w:t>La demande de réexamen de D._______ a pour motif essentiel la procédure engagée devant la Justice de paix, qui a abouti à la décision du 21 octobre 2004 rétablissant, respectivement élargissant le droit de visite de D._______ sur son fils. Selon le recourant, ce nouvel aménagement de son droit de visite ne permettrait plus que celui-ci soit exercé depuis l'étranger, contrairement à l'opinion défendue par l'autorité inférieure dans sa décision du 27 août 2004, sous peine de constituer une violation de l'art. 8 CEDH. Sur ce point, avec l'autorité inférieure, force est de constater que cet élément, s'il est nouveau, n'est pas suffisamment important pour influer sur le sort de la cause.</w:t>
      </w:r>
    </w:p>
    <w:p>
      <w:r>
        <w:rPr>
          <w:b/>
        </w:rPr>
        <w:t>E. 4.1</w:t>
      </w:r>
    </w:p>
    <w:p>
      <w:r>
        <w:t>A titre préliminaire, il sied de relever que la CEDH n'a pas une portée directe dans le cadre de la procédure d'exemption des mesures de limitation du nombre des étrangers, puisque cette procédure ne concerne pas directement le droit de séjourner en Suisse.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(ATAF 2007/45 consid. 5.2 p. 591 et les références citées). Les relations familiales qui peuvent fonder, en vertu de l'art. 8 CEDH, un droit à une autorisation de séjour de police des étrangers sont avant tout les rapports entre époux ainsi qu'entre parents et enfants mineurs vivant ensemble (ATF 120 Ib 257 consid. 1d). La jurisprudence a cependant parfois admis que l'art. 8 CEDH pouvait s'appliquer lorsqu'un père étranger faisait valoir une relation forte avec son enfant bénéficiant du droit de résider en Suisse, même si ce dernier n'était pas placé sous son autorité parentale ou sous sa garde; un contact régulier entre le parent et l'enfant, par exemple par l'exercice du droit de visite, peut le cas échéant suffire (ALAIN WURZBURGER, La jurisprudence récente du Tribunal fédéral en matière de police des étrangers, Revue de droit administratif et fiscal [RDAF] I 1997, p. 267-355, p. 285). La question de savoir si, dans un cas particulier, les autorités de police des étrangers sont tenues d'accorder une autorisation de séjour fondée sur l'art. 8 CEDH doit ainsi être résolue sur la base d'une pesée de tous les intérêts publics et privés en présence (ATF 122 II 1 consid. 2, 120 Ib 22 consid. 4a). En ce qui concerne l'intérêt public, il faut retenir que la Suisse mène une politique restrictive en matière de séjour des étrangers.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ATF 120 Ib I et arrêts du Tribunal fédéral 2C_621/2008 du 9 septembre 2008 consid. 2.2.1 et 2C_340/2008 du 28 juillet 2008 consid. 6.1).</w:t>
      </w:r>
    </w:p>
    <w:p>
      <w:r>
        <w:rPr>
          <w:b/>
        </w:rPr>
        <w:t>E. 4.2.1</w:t>
      </w:r>
    </w:p>
    <w:p>
      <w:r>
        <w:t>Les premières années de la vie de J._______ ont manifestement été chaotiques, puisque face à l'incapacité de sa mère de le prendre en charge, le SPJ l'a placé dans une famille d'accueil d'abord, dans un foyer ensuite. Une certaine stabilité dans son entourage est dès lors indispensable pour préserver son équilibre. Il s'impose cependant de relever que K._______ a toujours conservé l'autorité parentale sur son fils, qu'elle détient seule, à l'exclusion du recourant. En outre, celui-ci n'a jamais vécu en communauté familiale avec son fils, qu'il n'a par ailleurs pas côtoyé durant les deux premières années de sa vie, avec lequel il n'a ensuite et pendant plusieurs années entretenu que des contacts épisodiques. Actuellement, il en a la garde deux weeks-ends par mois et quelques semaines dans l'année à l'occasion des vacances scolaires. Si cela correspond à la pratique lorsque les parents d'un enfant sont séparés, il ne s'agit pas pour autant d'un droit de visite organisé de manière large. Par ailleurs, vu le jeune âge de l'enfant, huit ans, il est manifeste qu'il entretient les rapports les plus intenses avec la personne qui s'occupe de lui au quotidien, à savoir depuis environ deux ans sa mère, et n'a que des liens relativement lâches avec son père. Son départ pour l'étranger ne le touchera donc pas de la même manière que s'il avait vécu avec lui dans la même famille. Même si l'exercice du droit de visite se trouvera compliqué et sera rendu plus onéreux par le départ de D._______ et devra être défini sur un mode différent que le régime actuel, il pourra cependant être maintenu. De surcroît, cette circonstance seule ne suffit pas, selon la jurisprudence, à faire admettre l'existence d'un cas personnel d'extrême gravité (cf. dans ce sens arrêt du Tribunal fédéral 2A.83/2007 du 16 mai 2007 consid. 4.2).</w:t>
      </w:r>
    </w:p>
    <w:p>
      <w:r>
        <w:rPr>
          <w:b/>
        </w:rPr>
        <w:t>E. 4.2.2</w:t>
      </w:r>
    </w:p>
    <w:p>
      <w:r>
        <w:t>Le Tribunal n'ignore pas que l'équilibre de l'enfant sera perturbé durant quelques mois et qu'il sera certainement éprouvé par l'absence de son père. Mais au vu de son jeune âge, et compte tenu des considérations qui précèdent, il parviendra selon toute vraisemblance rapidement à s'accommoder de cette situation et il n'en sera pas entravé dans son développement. Père et fils pourront de surcroît rester en contact par le biais des moyens de communication modernes, sans oublier que J._______ pourra rendre visite à son père dans le cadre de séjours touristiques.</w:t>
      </w:r>
    </w:p>
    <w:p>
      <w:r>
        <w:rPr>
          <w:b/>
        </w:rPr>
        <w:t>E. 4.2.3</w:t>
      </w:r>
    </w:p>
    <w:p>
      <w:r>
        <w:t>Par surabondance, le Tribunal souligne que le comportement du recourant n'est de loin pas irréprochable. Outre son séjour clandestin entre 1999 et 2004, il a travaillé sans autorisation en Suisse.</w:t>
      </w:r>
    </w:p>
    <w:p>
      <w:r>
        <w:rPr>
          <w:b/>
        </w:rPr>
        <w:t>E. 4.3</w:t>
      </w:r>
    </w:p>
    <w:p>
      <w:r>
        <w:t>Au vu de ce qui précède, le Tribunal estime que les motifs liés à la présence en Suisse de son fils, respectivement l'élargissement du droit de visite depuis la première décision du 24 août 2004, ne sont pas de nature à justifier l'exemption du recourant des mesures de limitation.</w:t>
      </w:r>
    </w:p>
    <w:p>
      <w:r>
        <w:rPr>
          <w:b/>
        </w:rPr>
        <w:t>E. 5</w:t>
      </w:r>
    </w:p>
    <w:p>
      <w:r>
        <w:t>Pour le surplus, et bien que ces éléments n'aient pas été invoqués au stade de la demande de réexamen mais dans les écritures ultérieures, le Tribunal observe que les circonstances ne se sont pas notablement modifiées depuis la première décision du 27 août 2004 et pas plus aujourd'hui qu'en 2004, elles ne justifient d'exempter le recourant des mesures de limitation.</w:t>
      </w:r>
    </w:p>
    <w:p>
      <w:r>
        <w:rPr>
          <w:b/>
        </w:rPr>
        <w:t>E. 5.1</w:t>
      </w:r>
    </w:p>
    <w:p>
      <w:r>
        <w:t>En effet, un peu plus de quatre années se sont écoulées depuis la première décision, portant ainsi à neuf ans la durée du séjour en Suisse du recourant. Or, comme la jurisprudence a déjà eu l'occasion de le rappeler à plusieurs reprises, le simple écoulement du temps et l'amélioration de l'intégration ne constituent pas un motif de réexamen (arrêts du Tribunal fédéral 2C_38/2008 du 2 mai 2008 consid. 3.4 et 2A.180/2000 du 14 août 2000 consid. 4c). De surcroît, 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Le recourant ne saurait ainsi tirer parti de la seule durée de son séjour en Suisse, respectivement de la durée supplémentaire de son séjour depuis 2004, pour bénéficier d'une exception aux mesures de limitation.</w:t>
      </w:r>
    </w:p>
    <w:p>
      <w:r>
        <w:rPr>
          <w:b/>
        </w:rPr>
        <w:t>E. 5.2</w:t>
      </w:r>
    </w:p>
    <w:p>
      <w:r>
        <w:t>Les relations familiales, la situation professionnelle, l'intégration sociale et l'état de santé constituent d'autres éléments à prendre en considération pour admettre qu'un départ de Suisse placerait le requérant dans une situation particulièrement rigoureuse au sens de l'art. 13 let. f OLE (cf. ATF 130 II 39 consid. 3).</w:t>
      </w:r>
    </w:p>
    <w:p>
      <w:r>
        <w:rPr>
          <w:b/>
        </w:rPr>
        <w:t>E. 5.2.1</w:t>
      </w:r>
    </w:p>
    <w:p>
      <w:r>
        <w:t>Depuis la première décision du 24 août 2004, le père de D._______ est décédé et le frère de celui-ci a déménagé en Espagne, de telle sorte que le recourant n'aurait plus de famille dans son pays d'origine. Aucune pièce ne corrobore ces allégués et quand bien même tel serait le cas, le Tribunal observe que D._______ est arrivé en Suisse en 1999, à l'âge de vingt et un ans. C'est en Equateur qu'il a passé toute son enfance et son adolescence et qu'il a ses racines; il est imprégné de la culture sud-américaine bien davantage que de la culture européenne, suisse en particulier. Il est incontestable que le recourant conserve dans son pays d'origine d'autres parents, certainement plus éloignés, ainsi que des amis et des connaissances qu'il a rencontrés au cours des vingt et une premières années de sa vie. Aujourd'hui âgé de trente ans, enrichi de son expérience helvétique et des capacités d'adaptation dont il a dû - et manifestement su - faire preuve, le recourant sera à même de se reconstituer un cercle social en Equateur, tout autant qu'il y a quatre ans lors de la première décision, en dépit du fait que les attaches avec ce pays se sont certainement distendues.</w:t>
      </w:r>
    </w:p>
    <w:p>
      <w:r>
        <w:rPr>
          <w:b/>
        </w:rPr>
        <w:t>E. 5.2.2</w:t>
      </w:r>
    </w:p>
    <w:p>
      <w:r>
        <w:t>Si l'intégration professionnelle du recourant est tout à fait satisfaisante, il n'apparaît pas qu'elle ait considérablement évolué depuis le 24 août 2004. En effet, il occupe toujours, et depuis avril 2004, un poste d'aide-cuisine dans un établissement public. Au demeurant, aujourd'hui comme à cette date, il ne s'agit pas là de compétences qu'il ne pourrait pas mettre en valeur ailleurs qu'en Suisse.</w:t>
      </w:r>
    </w:p>
    <w:p>
      <w:r>
        <w:rPr>
          <w:b/>
        </w:rPr>
        <w:t>E. 5.2.3</w:t>
      </w:r>
    </w:p>
    <w:p>
      <w:r>
        <w:t>Quant à la circulaire du 21 décembre 2001 dont le recourant fait état dans sa réplique, elle ne constitue pas un élément nouveau par rapport à la décision du 24 août 2004. En tout état de cause, il ne peut en tirer aucun droit (cf. ATAF 2007/16 consid. 6.2 et 6.3 p. 197s.).</w:t>
      </w:r>
    </w:p>
    <w:p>
      <w:r>
        <w:rPr>
          <w:b/>
        </w:rPr>
        <w:t>E. 6</w:t>
      </w:r>
    </w:p>
    <w:p>
      <w:r>
        <w:t>C'est donc à bon droit que l'ODM a rejeté la demande de réexamen de D._______. La décision attaquée ne viole pas le droit fédéral et n'est pas inopportune (cf. art. 49 PA). Le recours doit ainsi être rejeté. Compte tenu de l'issue de la cause, il y aurait lieu de mettre les frais de procédure à la charge du recourant (cf. art. 63 al. 1 PA et art. 1 à 3 du règlement du 21 février 2008 concernant les frais, dépens et indemnités fixés par le Tribunal administratif fédéral [FITAF, RS 173.320.2]). Au vu néanmoins du salaire modeste qu'il réalise et compte tenu du fait qu'il s'acquitte régulièrement du versement de la pension alimentaire en faveur de son fils, le Tribunal consent à titre exceptionnel à l'exonérer des frais de procédure (cf. art. 6 let. b FITAF). La requête tendant à la dispense des frais au sens de l'art. 65 al. 1 PA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