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C-2654/2012 vom 5. November 2014</w:t>
      </w:r>
    </w:p>
    <w:p>
      <w:r>
        <w:t>Bundesverwaltungsgericht, 2014-11-05, DE</w:t>
      </w:r>
    </w:p>
    <w:p>
      <w:r>
        <w:rPr>
          <w:b/>
        </w:rPr>
        <w:t xml:space="preserve">Quelle: </w:t>
      </w:r>
      <w:r>
        <w:t>https://mcp.opencaselaw.ch/entscheid/bvger_C-2654_2012</w:t>
      </w:r>
    </w:p>
    <w:p>
      <w:r>
        <w:t>FR: TAF C-2654/2012 du 5 novembre 2014</w:t>
      </w:r>
    </w:p>
    <w:p>
      <w:r>
        <w:t>IT: TAF C-2654/2012 del 5 novembre 2014</w:t>
      </w:r>
    </w:p>
    <w:p>
      <w:pPr>
        <w:pStyle w:val="Heading2"/>
      </w:pPr>
      <w:r>
        <w:t>Regeste</w:t>
      </w:r>
    </w:p>
    <w:p>
      <w:r>
        <w:t>Einreiseverbot</w:t>
      </w:r>
    </w:p>
    <w:p>
      <w:pPr>
        <w:pStyle w:val="Heading2"/>
      </w:pPr>
      <w:r>
        <w:t>Erwägungen</w:t>
      </w:r>
    </w:p>
    <w:p>
      <w:r>
        <w:rPr>
          <w:b/>
        </w:rPr>
        <w:t>E. 1.1</w:t>
      </w:r>
    </w:p>
    <w:p>
      <w:r>
        <w:t>Verfügungen des BFM, mit denen ein Einreiseverbot im Sinne von Art. 67 des Bundesgesetzes vom 16. Dezember 2005 über die Ausländerin­nen und Ausländer (AuG, SR 142.20) verhängt wird, unterliegen der Be­schwerde an das Bundesverwaltungsgericht (Art. 112 Abs. 1 AuG i.V.m. Art. 31 ff. des Verwaltungsgerichtsgesetzes vom 17. Juni 2005 [VGG, SR 173.32]).</w:t>
      </w:r>
    </w:p>
    <w:p>
      <w:r>
        <w:rPr>
          <w:b/>
        </w:rPr>
        <w:t>E. 1.2</w:t>
      </w:r>
    </w:p>
    <w:p>
      <w:r>
        <w:t>Das Rechtsmittelverfahren vor dem Bundesverwaltungsgericht richtet sich nach den Bestimmungen des Verwaltungsverfahrensgesetzes vom 20. Dezember 1968 (VwVG, SR 172.021), soweit das Verwaltungs­ge­richts­gesetz nichts an­deres bestimmt (Art. 37 VGG).</w:t>
      </w:r>
    </w:p>
    <w:p>
      <w:r>
        <w:rPr>
          <w:b/>
        </w:rPr>
        <w:t>E. 1.3</w:t>
      </w:r>
    </w:p>
    <w:p>
      <w:r>
        <w:t>Der Beschwerdeführer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Das BFM verfügt Einreiseverbote gegenüber weggewiesenen Ausländerinnen und Ausländern u.a. dann, wenn die Wegweisung nach Art. 64d Abs. 2 Bst. a - c AuG sofort vollstreckt wird (Art. 67 Abs. 1 Bst. a AuG). Das Bundesamt kann sodann gestützt auf Art. 67 Abs. 2 AuG Einreiseverbote gegenüber ausländischen Personen verfügen,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5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3.2</w:t>
      </w:r>
    </w:p>
    <w:p>
      <w:r>
        <w:t>Das Einreiseverbot ist keine Sanktion für vergangenes Fehlverhalten, sondern eine Massnahme zur Abwendung einer künftigen Störung der öf­fentlichen Sicherheit und Ordnung (BBl 2002 3813). Die Feststellung ei­ner solchen Gefahr ist ein Wahrscheinlichkeitsurteil, das sich naturge­mäss auf vergangenes Verhalten einer ausländischen Person abstützen muss. Stellt bereits dieses vergangene Verhalten eine Störung der öffentlichen Sicherheit und Ordnung dar, wird die Gefahr künftiger Störungen von Gesetzes wegen vermutet (BBl 2002 3760).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betroffenen Person in der Schweiz mit erheblicher Wahrscheinlichkeit zu einem Verstoss gegen die öffentliche Sicherheit und Ordnung führt.</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 / Patrick Sutter / Nina Widmer, in: Rainer J. Schweizer [Hrsg.], Si­cherheits- und Ordnungsrecht des Bundes, SBVR Bd. III/1, Basel 2008, Teil B Rz. 13 mit Hinweisen). In diesem Sinne liegt nach Art. 80 Abs. 1 Bst. a VZAE ein Ver­stoss gegen die öffentliche Sicherheit und Ordnung un­ter anderem dann vor, wenn gesetzliche Vorschriften oder behördliche Verfü­gungen missachtet werden. Gemeingefährliche Verbrechen und Vergehen wie die einfache und qualifizierte Brandstiftung oder auch strafbare Handlungen gegen das Vermögen (wie beispielsweise Betrug) fallen ohne weiteres unter diese Begriffsbestimmung und können als solche ein Einreiseverbot nach sich ziehen.</w:t>
      </w:r>
    </w:p>
    <w:p>
      <w:r>
        <w:rPr>
          <w:b/>
        </w:rPr>
        <w:t>E. 4.1</w:t>
      </w:r>
    </w:p>
    <w:p>
      <w:r>
        <w:t>Der Beschwerdeführer wurde mit Urteil des Kriminalgerichts des Kantons Luzern vom 5. April 2012 wegen Anstiftung zu Brandstiftung und Betrugs schuldig gesprochen. Mit einer Delin­quenz dieser Art wurde der Fernhaltegrund einer Verletzung der öf­fentlichen Sicherheit und Ordnung gemäss Art. 67 Abs. 2 Bst. a AuG ohne weiteres gesetzt. Kommt hinzu, dass die kantonale Migrationsbehörde den Beschwerdeführer mit Verfügungen vom 5. April 2012 mit sofortiger Wirkung aus der Schweiz und dem Schengen-Raum wegwies und ihn in Ausschaffungshaft versetzte, womit zusätzlich auch noch Fernhaltegründe nach Art. 67 Abs. 1 Bst. a bzw. Abs. 2 Bst. c AuG gesetzt wurden.</w:t>
      </w:r>
    </w:p>
    <w:p>
      <w:r>
        <w:rPr>
          <w:b/>
        </w:rPr>
        <w:t>E. 4.2</w:t>
      </w:r>
    </w:p>
    <w:p>
      <w:r>
        <w:t>Ohne rechtlichen Belang ist der Umstand, dass im Verfügungszeitpunkt der angefochtenen Fernhaltemassnahme die ihr zugrunde gelegten Haupttaten (Anstiftung zu Brandstiftung und Betrug) noch nicht rechtskräftig beurteilt waren. Denn das Einreiseverbot knüpft entgegen der Auffassung des Beschwerdeführers nicht an die Erfüllung einer Strafnorm, sondern an das Vorliegen einer Polizeigefahr an. Ob eine solche besteht und gegebenenfalls wie sie zu gewichten ist, hat die Behörde in eigener Kompetenz unter Zugrundelegung spezifisch ausländerrechtlicher Kriterien zu beurteilen. Entsprechend kann ein Einreiseverbot auch dann ergehen, wenn ein rechtskräftiges Urteil fehlt, sei es, weil ein Strafverfahren nicht eröffnet wurde oder noch hängig ist (vgl. anstelle vieler Urteil des Bundesverwaltungs­gerichts C-4489/2013 vom 23. Januar 2014, E.6.2). Die vom Beschwer­deführer angerufene, in Art. 6 Abs. 2 EMRK normierte Unschuldsvermu­tung hat zwar Wirkungen über das Strafverfahren hinaus und gewähr­leistet grundsätzlich, dass der Nachweis einer strafbaren Handlung erst durch ein rechtskräftiges Strafurteil erbracht ist. In der angefochtenen Verfügung wurde aber von der Vorinstanz nicht der Anschein erweckt, der Beschwerdeführer sei wegen Anstiftung zu Brandstiftung und Betrugs bereits rechtskräftig verurteilt. Vielmehr wurde korrekt festgehalten, dass diese Vorwürfe Gegenstand eines hängigen Strafverfahrens seien. Dass der Beschwerdeführer die ihm zur Last gelegten Straftaten kategorisch bestritt, tut ebenfalls nichts zur Sache; aufgrund der Aktenlage konnte nicht ernsthaft daran gezweifelt werden, dass er diese zu verantworten hatte.</w:t>
      </w:r>
    </w:p>
    <w:p>
      <w:r>
        <w:rPr>
          <w:b/>
        </w:rPr>
        <w:t>E. 5.1</w:t>
      </w:r>
    </w:p>
    <w:p>
      <w:r>
        <w:t>Im Folgenden ist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Aufl., Zürich und St. Gallen 2010, Rz. 613 ff.).</w:t>
      </w:r>
    </w:p>
    <w:p>
      <w:r>
        <w:rPr>
          <w:b/>
        </w:rPr>
        <w:t>E. 5.2</w:t>
      </w:r>
    </w:p>
    <w:p>
      <w:r>
        <w:t>Das öffentliche Interesse an einer Fernhaltung des Beschwerde­füh­rers ist schon aus objektiver, präventiv-polizeilicher Sicht als gewichtig einzu­stufen. Ausländische Personen, die sich während ihrer Anwesenheit in der Schweiz Verbrechen oder Vergehen wie der Brandstiftung oder des Betrugs schuldig machen, sind nach Möglichkeit von der Schweiz fernzuhalten. Es gilt durch eine kontinuierliche und kon­sequente Verwal­tungspraxis zu verdeutlichen, dass solche Delinquenz zum Schutz der öffentlichen Sicherheit und Ordnung in aller Regel mehrjährige Fern­haltemassnah­men zur Folge hat.</w:t>
      </w:r>
    </w:p>
    <w:p>
      <w:r>
        <w:rPr>
          <w:b/>
        </w:rPr>
        <w:t>E. 5.3</w:t>
      </w:r>
    </w:p>
    <w:p>
      <w:r>
        <w:t>In subjektiver Hinsicht wiegt das dem Beschwerdeführer vorgehal­tene, massnahmeauslösende Fehlverhalten schwer und es ist von einer nicht unerheblichen Gefahr für weitere Delikte auszugehen: Der Beschwerdeführer befand sich 2003 schon seit längerer Zeit in grossen finanziellen Schwierigkeiten. Er war offenbar arbeitsunfähig, lebte von einer IV-Rente und hatte Schulden in erheblichem Masse angehäuft, die einen Privatkonkurs zur Folge hatten. Um seiner misslichen finanziellen Situation zu entrinnen, entschloss er sich, auf betrügerische Weise Versicherungsleistungen zu erlangen, indem er eine Drittperson zu Verursachung eines Brandes in seiner Wohnung anstiftete. Die Tat wurde von den Beteiligten sorgfältig geplant. Dabei gingen sie soweit, auf der Basis des bestehenden Versicherungsvertrages noch Manipulationen an der Wohnungseinrichtung vorzunehmen, um eine maximale Leistung der Versicherung zu erwirken. Am späten Abend des Tattages verschaffte sich der angestiftete Dritttäter mittels eines ihm zuvor vom Beschwerdeführer überlassenen Schlüssels Zugang zu dessen - im Parterre eines vierstöckigen Mehrfamilienhauses gelegenen - Wohnung. Wie vereinbart legte dieser kurz vor Mitternacht in unmittelbarer Nähe des TV-Gerätes Feuer, um auf diese Weise einen durch technischen Defekt hervorgerufenen Wohnungsbrand vorzutäuschen. Der Beschwerdeführer selber befand sich zum Zeitpunkt der Brandlegung an einem Stadtfest, um sich dadurch ein Alibi zu verschaffen. Vom Beschwerdeführer über die wahre Brandursache getäuscht, kamen die betroffenen Versicherungsgesellschaften sowohl für die Schäden an dessen Wohnungseinrichtung wie auch für diejenigen an der Liegenschaft selbst auf.</w:t>
      </w:r>
    </w:p>
    <w:p>
      <w:r>
        <w:rPr>
          <w:b/>
        </w:rPr>
        <w:t>E. 5.4</w:t>
      </w:r>
    </w:p>
    <w:p>
      <w:r>
        <w:t>Das Verschulden des Be­schwerdeführers wurde vom urteilenden Strafgericht als "mittelschwer" qualifiziert. Zu seinen Lasten sei zu berücksichtigen, dass er mehrere Straftaten begangen habe. Er habe sich sowohl der Anstiftung zur Brandstiftung wie auch des Betrugs schuldig gemacht, was zwingend zur Straferhöhung führe (Konkurrenz verschiedener Straftaten; Art. 49 StGB). Zudem zeige seine Vorgehensweise bei der Planung und Umsetzung der Tat, dass bei ihm von einer nicht zu bagatellisierenden kriminellen Energie ausgegangen werden müsse. Er habe bei der Brandstiftung nicht selbst Hand anlegen wollen, weshalb er eine Drittperson mit der Ausführung beauftragt habe. Dabei habe er in egoistischer Weise billigend in Kauf genommen, dass durch die Feuersbrunst auch die Rechtsgüter unbeteiligter Dritter gefährdet und zu Schaden kommen könnten. Dies zeuge von grosser Rücksichtslosigkeit. Des weiteren sei der Deliktsbetrag von mehr als 100'000 Franken als hoch zu bezeichnen. Der Beschuldigte habe aus rein finanziellen Beweggründen gehandelt, sei es doch einzig darum gegangen, Versicherungsleistungen zu erhalten (vgl. Urteil des Kriminalgerichts des Kantons Luzern vom 5. April 2012, E. 4.1.5). In ihrem abschliessenden Rapport vom 21. Juni 2009 hielt die Kantonspolizei Luzern dafür, dass durch die Brandlegung eine allgemeine Gefahr für Leib und Leben von Drittpersonen bestanden habe. Die Tatbeteiligten hätten keine Massnahmen zum Schutze anderer Hausbewohner getroffen und damit in Kauf genommen, dass diese körperlich hätten zu Schaden kommen können. Zur Zeit der Brandlegung hätten sich Bewohner im Haus aufgehalten und nur der relativ frühen Entdeckung des Brandes sei zu verdanken, dass keine Unbeteiligten verletzt oder gar getötet worden seien. Erschwerend tritt hinzu, dass der Beschwerdeführer im Strafverfahren trotz erdrückender Beweislast sämtliche Tatvorwürfe hartnäckig abstritt. Dieses Verhalten wurde vom Strafgericht als fehlende Einsicht und Reue qualifiziert (Urteil des Kriminalgerichts; a.a.O. E. 4.2.2).</w:t>
      </w:r>
    </w:p>
    <w:p>
      <w:r>
        <w:rPr>
          <w:b/>
        </w:rPr>
        <w:t>E. 5.5</w:t>
      </w:r>
    </w:p>
    <w:p>
      <w:r>
        <w:t>Über die wirtschaftlichen Verhältnisse, in denen sich der Beschwerdeführer seit seiner Entlassung aus dem schweizerischen Strafvollzug und der erzwungenen Rückkehr in sein Heimatland befindet, ist nichts aktenkundig. Vor dem aufgezeigten Hintergrund kann aber nicht ernsthaft in Frage ge­stellt werden, dass die Vorinstanz beim Beschwerdeführer eine fortbestehende Gefahr für die öffentli­che Sicherheit und Ordnung annehmen konnte, welche die Verhängung einer mehrjährigen Fernhaltemassnahme rechtfertigt.</w:t>
      </w:r>
    </w:p>
    <w:p>
      <w:r>
        <w:rPr>
          <w:b/>
        </w:rPr>
        <w:t>E. 5.6</w:t>
      </w:r>
    </w:p>
    <w:p>
      <w:r>
        <w:t>Spezifische private Interessen, welche der Verhängung eines Einreiseverbots entgegen stehen könnten, brachte der Beschwerdeführer weder im erstinstanzlichen noch im Beschwerdeverfahren vor. Aus den Akten ist nur gerade ersichtlich, dass der zweimal geschiedene Beschwerdeführer Vater einer 1976 geborenen Tochter aus erster Ehe und eines 1982 geborenen Sohnes aus zweiter Ehe ist. Der Sohn lebt offenbar mit ihm in Serbien, die Tochter mit Ehemann und Kindern in der Schweiz. Ob und falls ja, in welchem Umfang der Beschwerdeführer mit seiner Tochter und deren Familie Kontakte pflegt, ist nicht bekannt.</w:t>
      </w:r>
    </w:p>
    <w:p>
      <w:r>
        <w:rPr>
          <w:b/>
        </w:rPr>
        <w:t>E. 6</w:t>
      </w:r>
    </w:p>
    <w:p>
      <w:r>
        <w:t>Eine wertende Gewichtung der sich gegenüberstehenden Interessen führt das Bundesverwaltungsgericht daher zum Schluss, dass die gegen den Be­schwerdeführer verhängte Fernhaltemassnahme von fünf Jahren eine verhältnismäs­sige und angemessene Massnahme zum Schutze der öffentlichen Sicher­heit und Ordnung darstellt.</w:t>
      </w:r>
    </w:p>
    <w:p>
      <w:r>
        <w:rPr>
          <w:b/>
        </w:rPr>
        <w:t>E. 7</w:t>
      </w:r>
    </w:p>
    <w:p>
      <w:r>
        <w:t>Zu prüfen bleibt die von der Vorinstanz angeordnete Ausschreibung des Einreiseverbots im Schengener Informationssystem SIS.</w:t>
      </w:r>
    </w:p>
    <w:p>
      <w:r>
        <w:rPr>
          <w:b/>
        </w:rPr>
        <w:t>E. 7.1</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Schengener Informationssystems (SIS)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 vom 13. April 2006, S. 1-32]).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 vom 15. September 2009, S. 1-58]).</w:t>
      </w:r>
    </w:p>
    <w:p>
      <w:r>
        <w:rPr>
          <w:b/>
        </w:rPr>
        <w:t>E. 7.2</w:t>
      </w:r>
    </w:p>
    <w:p>
      <w:r>
        <w:t>Eine Person, die nicht die Staatsangehörigkeit eines EU-Mitgliedstaa­tes besitzt (Drittstaatsangehörige), kann im SIS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 vom 28. Dezember 2006, S. 4-239]).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7.3</w:t>
      </w:r>
    </w:p>
    <w:p>
      <w:r>
        <w:t>Der Beschwerdeführer kann als Drittstaatsangehöriger grundsätzlich zur Einreise- bzw. Aufenthaltsverweigerung im SIS ausgeschrieben werden. Die von ihm zu verantwortenden Straftaten erfüllen sodann den von Art. 24 Ziff. 2 Bst. a SIS-II-Verordnung verlangten Schweregrad bei weitem. Ob bei dieser Rechtslage der Entscheid über die Ausschreibung überhaupt in das Ermessen der zuständigen Behörde fällt, ist unklar, denn vom Wortlaut her scheint Art. 24 Ziff. 2 SIS-II-Verordnung einen Automatismus vorzusehen ("Eine Ausschreibung wird eingegeben, wenn [...]), während Art. 21 SIS-II-Verordnung unter dem Titel "Verhältnismässigkeit" verlangt, dass der ausschreibende Mitgliedstaat feststellt, "ob Angemessenheit, Relevanz und Bedeutung des Falles eine Aufnahme der Ausschreibung [...] rechtfertigen"). Doch selbst wenn der Behörde ein Entschliessungsermessen zukäme, wofür gute Gründe angeführt werden können, wäre die Ausschreibung angesichts der Schwere der vom Beschwerdeführer zu verantwortenden Straftaten und der von ihm ausgehenden Gefahr gerechtfertigt, zumal die Fernhaltemassnahme auf fünf Jahre begrenzt ist und die Schweiz nicht nur eigene Interessen zu wahren hat, sondern als getreue Sachwalterin zur Wahrung der Interessen der Gesamtheit aller Schengen-Staaten verpflichtet ist (vgl. BVGE 2011/48 E. 6.1). Die mit der Ausschreibung einhergehende zusätzliche Beeinträchtigung seiner persönlichen Bewegungsfreiheit hat der Beschwerdeführer in Kauf zu nehmen.</w:t>
      </w:r>
    </w:p>
    <w:p>
      <w:r>
        <w:rPr>
          <w:b/>
        </w:rPr>
        <w:t>E. 8</w:t>
      </w:r>
    </w:p>
    <w:p>
      <w:r>
        <w:t>Aus den vorstehenden Erwägungen ergibt sich, dass die angefochtene Verfügung Bundesrecht nicht verletzt und den rechtserheblichen Sachver­halt richtig und vollständig feststellt; sie ist auch angemessen (Art. 49 VwVG). Die Beschwerde ist daher abzuweisen.</w:t>
      </w:r>
    </w:p>
    <w:p>
      <w:r>
        <w:rPr>
          <w:b/>
        </w:rPr>
        <w:t>E. 9</w:t>
      </w:r>
    </w:p>
    <w:p>
      <w:r>
        <w:t>Entsprechend dem Ausgang des Verfahrens hat der Beschwerdeführer die Kosten zu tragen (Art. 63 Abs. 1 VwVG i.V.m. Art. 1, Art. 2 und Art. 3 Bst. b des Reglements vom 21. Februar 2008 über die Kosten und Entschä­digungen vor dem Bundesverwaltungsgericht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