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C-2644/2013 vom 23. September 2014</w:t>
      </w:r>
    </w:p>
    <w:p>
      <w:r>
        <w:t>Bundesverwaltungsgericht, 2014-09-23, IT</w:t>
      </w:r>
    </w:p>
    <w:p>
      <w:r>
        <w:rPr>
          <w:b/>
        </w:rPr>
        <w:t xml:space="preserve">Quelle: </w:t>
      </w:r>
      <w:r>
        <w:t>https://mcp.opencaselaw.ch/entscheid/bvger_C-2644_2013</w:t>
      </w:r>
    </w:p>
    <w:p>
      <w:r>
        <w:t>FR: TAF C-2644/2013 du 23 septembre 2014</w:t>
      </w:r>
    </w:p>
    <w:p>
      <w:r>
        <w:t>IT: TAF C-2644/2013 del 23 settembre 2014</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DTF 130 V 445 consid. 1.2). La domanda di rendita AI essendo stata presentata l'8 ottobre 2012, al caso in esame si applicano di principio le disposizioni della 6a revisione della LAI (primo pacchetto) entrate in vigore il 1° gennaio 2012.</w:t>
      </w:r>
    </w:p>
    <w:p>
      <w:r>
        <w:rPr>
          <w:b/>
        </w:rPr>
        <w:t>E. 3.2</w:t>
      </w:r>
    </w:p>
    <w:p>
      <w:r>
        <w:t>La ricorrente, come già menzionato, ha presentato la nuova domanda di rendita l'8 ottobre 2012. Il periodo di cognizione giudiziario dello scrivente Tribunale amministrativo federale si estende fino al 2 aprile 2013, data dell'impugnata decisione. Il giudice delle assicurazioni sociali analizza, infatti, la legalità della decisione impugnata, in generale, secondo lo stato di fatto esistente al momento in cui la decisione in lite è stata resa (DTF 136 V 24 consid. 4.3; cfr. pure DTF 130 V 64 per quanto attiene alle decisioni di non entrata nel merito di una nuova domanda di rendita).</w:t>
      </w:r>
    </w:p>
    <w:p>
      <w:r>
        <w:rPr>
          <w:b/>
        </w:rPr>
        <w:t>E. 4</w:t>
      </w:r>
    </w:p>
    <w:p>
      <w:r>
        <w:t>Giova peraltro rilevare che la ricorrente ha versato contributi all'AVS/AI svizzera per ben oltre tre anni (cfr. estratto del conto individuale della Cassa svizzera di compensazione [doc. 108]) e, pertanto, adempie la condizione della durata minima di contribuzione riferita alle norme entrate in vigore il 1° gennaio 2012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5.5</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3 e 4 OAI [RS 831.201]). Per valutare questo aspetto occorre confrontare la situazione al momento della nuova decisione (in concreto al 2 aprile 2013) con quella esistente al momento dell'ultima decisione cresciuta in giudicato che è stata oggetto di un esame materiale del diritto alla rendita (nel caso di specie la decisione del 6 marzo 2009)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2b).</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w:t>
      </w:r>
    </w:p>
    <w:p>
      <w:r>
        <w:t>L'UAIE ha ritenuto che nell'ambito della terza domanda di rendita, presentata dall'insorgente l'8 ottobre 2012, andasse confrontata la situazione esiste al momento della resa della decisione dell'UAIE sulla seconda domanda di rendita (26 marzo 2012) con quella esistente al momento della pronuncia del provvedimento impugnato (2 aprile 2013). Preliminarmente, giova rilevare che contrariamente a quanto ritenuto dall'autorità inferiore nella risposta al ricorso, la decisione del 26 marzo 2012 non è stata di respingimento della seconda domanda di rendita - dopo contestuale accertamento pertinente dei fatti, apprezzamento delle prove e determinazione del grado d'invalidità - ma una non entrata nel merito della seconda domanda medesima, senza dunque alcun esame di merito della fattispecie. A prescindere da ciò, e quand'anche si volesse ritenere, come ha fatto l'UAIE, che nel caso di specie andava confrontata la situazione esistente al 26 marzo 2012 con quella esistente al 2 aprile 2013 (piuttosto che quella esistente al 6 marzo 2009 con quella al 2 aprile 2013), nulla cambierebbe all'esito della lite, nel senso che in entrambe le varianti sono date le condizioni per dovere entrare nel merito della terza domanda.</w:t>
      </w:r>
    </w:p>
    <w:p>
      <w:r>
        <w:rPr>
          <w:b/>
        </w:rPr>
        <w:t>E. 9.1</w:t>
      </w:r>
    </w:p>
    <w:p>
      <w:r>
        <w:t>In effetti, anche qualora l'UAIE avesse ritenuto come periodo di riferimento quello tra il 6 marzo 2009 e il 2 aprile 2013, non avrebbe che potuto concludere come in tutta evidenza l'insorgente ha reso plausibile, con il grado di prova ridotto richiesto dalla giurisprudenza (cfr. sentenza del TF 9C_683/2014 consid. 3.4.1 e 3.4.2 con relativi riferimenti), un intervenuto peggioramento del suo stato di salute. In effetti, fino al 6 marzo 2009 erano stati diagnosticati: status dopo intervento di correzione di alluce valgo a destra, lombalgie da discopatie lombari, artrosi alle mani e sindrome depressiva reattiva (cfr. segnatamente perizia medica particolareggiata E 213 del 9 maggio 2008 [doc. 1] e certificato medico del 12 dicembre 2008 [doc. 45]). Le diagnosi al momento della resa della decisione impugnata sono invece le seguenti: spondilodiscoartrosi del rachide in toto con limitazione funzionale di vari tratti, ernie discali plurime sintomatiche per sciatalgia, artrosi scapolo-omerale con riduzione escursoria, sindrome del tunnel carpale bilaterale con deficit prensile e 5° dito a scatto a sin., coxartrosi e gonartrosi bilaterale, prevalenti sin. con deficit flessori, artrosi delle T-T con limitazione escursoria, alluce valgo bilaterale con esiti recidivanti a dx., difficoltà dei cambi posturali, sindrome ansioso-depressiva di grado medio con attacchi di panico, cardiopatia ipertensiva con iniziale danno d'organo e obesità grado medio (cfr. consulenza tecnica del dott. A. C._______ del 30 settembre 2012). Già in virtù delle diagnosi di cui alla menzionata consulenza tecnica del 30 settembre 2012, non vi è chi non veda come risulti più che plausibile un intervenuto peggioramento dello stato di salute dalla ricorrente, tanto più ove si pensi, sia rilevato per sovrabbondanza, che sulla base di tale consulenza tecnica e del grado d'incapacità lavorativa ritenuto è poi stata modificata dal competente tribunale italiano anche la valutazione dell'incapacità lavorativa fino ad allora presa in considerazione dall'INPS.</w:t>
      </w:r>
    </w:p>
    <w:p>
      <w:r>
        <w:rPr>
          <w:b/>
        </w:rPr>
        <w:t>E. 9.2</w:t>
      </w:r>
    </w:p>
    <w:p>
      <w:r>
        <w:t>La plausibilità di un intervenuto peggioramento dello stato di salute dell'insorgente giustificante l'entrata nel merito della terza domanda di rendita inoltrata, è comunque data pure in relazione alla situazione esistente il 26 marzo 2012, al momento della non entrata nel merito della seconda domanda di rendita. In effetti, dalla perizia particolareggiata E 213 del 2 settembre 2011 (doc.62) e dalla consulenza tecnica del dott. A F.______ del 22 novembre 2011 (doc. 69), appare un quadro clinico più prossimo a quello del 6 marzo 2009 che a quello fino al 2 aprile 2013, ossia esiti di intervento chirurgico, mal riuscito, per alluce valgo a destra, osteoartrosi polidistrettuale, uncoartrosi cervicale con discopatia C5-C6, discopatia L5-S1 e bulging dell'anulus L4-L5, spina calcaneare bilaterale, deficit deambulatorio, sindrome del tunnel carpale bilaterale con maggiore impegno a destra e sindrome ansioso-depressiva di tipo reattivo. Il consulente tecnico ha concluso ad un'incapacità lavorativa della ricorrente del 50% (doc. 69 pag. 7). Ora, che la situazione appaia peggiorata sia dal profilo somatico, basti richiamare la coxartrosi bilaterale o ernie discali multiple, sia dal profilo psichico - sindrome ansioso depressiva definita per la prima volta di grado medio con attacchi di panico - è dunque più che plausibile, senza dimenticare che dalla consulenza tecnica del dott. A. C._______ del 30 settembre 2009 risulta un'incapacità lavorativa dell'insorgente non più del 50% ma del 74%. Neppure è condivisibile l'affermazione del medico dell'UAIE dott. T. E._______ secondo cui nella menzionata consulenza tecnica del 30 settembre 2012 non sono enumerati documenti obiettivi di data posteriore al 26 marzo 2012. Basti al proposito riferirsi ai documenti citata alla pagina 6 della consulenza stessa. A titolo del tutto abbondanziale, giova rilevare che se l'UAIE avesse ritenuto di dover disporre anche di tale documentazione per poter eventualmente entrare nel merito della terza domanda di rendita - così ponendo però condizioni superiori a quelle previste dalla giurisprudenza al riguardo (cfr. sentenza del TF 9C-683/2014 consid. 3.4), avrebbe allora dovuto perlomeno assegnare alla ricorrente un termine per presentare detta documentazione, prima di potersi pronunciare per una non entrata nel merito (cfr. DTF 130 V 64 consid. 5.2.5), ciò che però non ha fatto.</w:t>
      </w:r>
    </w:p>
    <w:p>
      <w:r>
        <w:rPr>
          <w:b/>
        </w:rPr>
        <w:t>E. 9.3</w:t>
      </w:r>
    </w:p>
    <w:p>
      <w:r>
        <w:t>In conclusione, conto tenuto dell'insieme delle circostanze del caso di specie e del grado di prova richiesto (cfr. consid. 9.1 del presente giudizio), emergono dalle carte processuali sufficienti elementi per ritenere siccome plausibile l'invocato peggioramento dello stato di salute della ricorrente (sia rispetto al 6 marzo 2009 che al 26 marzo 2012), di modo che la decisione impugnata deve essere annullata e gli atti rinviati l'UAIE affinché entri nel merito della terza domanda di rendita depositata dalla ricorrente, raccolga le prove necessarie per poter decidere (per esempio una perizia pluridisciplinare [dovrà essere tenuto conto anche di un intervenuto ulteriore peggioramento dello stato psichico dell'insorgente dopo l'emanazione della decisone litigiosa {cfr. il certificato dello psichiatra dott. A. G.______ del 3 giugno 2013}]) e renda una decisione sul diritto ad una rendita da parte della ricorrente.</w:t>
      </w:r>
    </w:p>
    <w:p>
      <w:r>
        <w:rPr>
          <w:b/>
        </w:rPr>
        <w:t>E. 10.1</w:t>
      </w:r>
    </w:p>
    <w:p>
      <w:r>
        <w:t>Visto l'esito della procedura, non sono percepite delle spese processuali e l'anticipo versato dalla ricorrente le sarà restituito dopo che la presente sentenza sarà cresciuta in giudicato.</w:t>
      </w:r>
    </w:p>
    <w:p>
      <w:r>
        <w:rPr>
          <w:b/>
        </w:rPr>
        <w:t>E. 10.2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1'500.-,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