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C-2639/2011 vom 19. April 2013</w:t>
      </w:r>
    </w:p>
    <w:p>
      <w:r>
        <w:t>Bundesverwaltungsgericht, 2013-04-19, DE</w:t>
      </w:r>
    </w:p>
    <w:p>
      <w:r>
        <w:rPr>
          <w:b/>
        </w:rPr>
        <w:t xml:space="preserve">Quelle: </w:t>
      </w:r>
      <w:r>
        <w:t>https://mcp.opencaselaw.ch/entscheid/bvger_C-2639_2011</w:t>
      </w:r>
    </w:p>
    <w:p>
      <w:r>
        <w:t>FR: TAF C-2639/2011 du 19 avril 2013</w:t>
      </w:r>
    </w:p>
    <w:p>
      <w:r>
        <w:t>IT: TAF C-2639/2011 del 19 aprile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bzw. Einspracheentscheide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frist- und formgerecht eingereichte Be­schwerde ist einzu­treten (Art. 50 und 52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2011/43 E. 6.1 sowie BVGE 2011/1 E. 2). 3.Der angefochtenen Verfügung liegt das Gesuch eines Staatsangehörigen der Dominikanischen Republik um Erteilung eines Visums für einen dreimonatigen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 4.Die Voraussetzungen für die Erteilung eines Visums präsentieren sich im Anwendungsbereich der erwähnten Rechtsgrundlagen wie folgt: 4.1 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 4.2 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 4.3 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 4.4 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 4.5 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die Dominikanische Republik zu diesen Staaten zählt, unterliegt der Gesuchsteller der Visumspflicht. Bei der Prüfung der Einreisevoraussetzungen nach Art. 5 Abs. 1 SGK steht die Frage der gesicherten Wiederausreise im Vordergrund, welche die Vorinstanz aufgrund der allgemeinen Lage im Heimatland sowie der persönlichen Verhältnisse des Gesuchstellers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Der Gesuchsteller stammt aus der Dominikanischen Republik. Die Wirtschaft dieses Landes konnte sich zwar nach einer durch den Zusammenbruch dreier grosser Geschäftsbanken im Jahre 2003 verursachten schweren Krise sowie der Wirtschaftskrise von 2008 - dank der Konsolidierungspolitik des im August 2004 gewählten (und im Mai 2008 wiedergewählten) Staatspräsidenten und Regierungschefs Leonel Fernández Reyna und seit August 2004 unterstützt durch den IWF - in beeindruckender Kürze erholen. Beleg dafür ist die Wirtschaft, welche sich seit über zehn Jahren durch ein starkes Wachstum von durchschnittlich knapp 7% jährlich auszeichnete. Seit 2011 ist das Wachstum jedoch gesunken und lag 2012 bei rund 4%. Der Amtsnachfolger Danilo Medina (seit 16. 08. 2012) verfolgt einen Wirtschaftswachstumskurs mit staatlicher Austeritätspolitik. Des Weiteren ist die Einkommensverteilung zunehmend ungleich, was in Verbindung mit der ab 1. Januar 2013 eingeführten Steuerreform derzeit zu stark steigenden Preisen für Grundversorgungsgüter und zu sozialen Spannungen führt. Festzustellen ist auch, dass die Transferzahlungen von im Ausland lebenden Staatsbürgern mit einem beträchtlichen Anteil von 6% zum Bruttoinlandprodukt beitragen, jedoch seit einigen Jahren rückläufig sind (Quelle: Webseite des deutschen Auswärtigen Amtes: www.auswaertiges-amt.de, Aussen- und Europapolitik &gt; Länderinformationen &gt; Länder A-Z &gt; Dominikanische Republik &gt; Wirtschaft, Stand: Februar 2013 &gt; Seite besucht im April 2013). Vor dem aufgezeigten wirtschaftlichen Hintergrund ist - vor allem bei der jüngeren Bevölkerung - gemeinhin ein starker Migrationsdruck festzustellen. Vor allem Nordamerika und Europa gelten als Wunschdestinationen von Menschen im erwerbsfähigen Alter, die auf ein in wirtschaftlicher Hinsicht besseres Leben hoffen. Die Tendenz zur Auswanderung wird erfahrungsgemäss dort noch verstärkt, wo im Ausland bereits ein soziales Beziehungsnetz (in casu die Mutter des Gesuchstellers) besteht. Im Falle der Schweiz führt dies angesichts der restriktiven Zulassungsregelung zum Arbeitsmarkt nicht selten zur Umgehung ausländerrechtlicher Bestimmungen.</w:t>
      </w:r>
    </w:p>
    <w:p>
      <w:r>
        <w:rPr>
          <w:b/>
        </w:rPr>
        <w:t>E. 5.4</w:t>
      </w:r>
    </w:p>
    <w:p>
      <w:r>
        <w:t>Bei der Risikoanalyse sind allerdings nicht nur die erwähnten allgemeinen Umstände,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 6.6.1 Beim Gesuchsteller handelt es sich um einen 30-jährigen ledigen und kinderlosen Mann. Es sind somit in casu keine familiären und gesellschaftlichen Verpflichtungen ersichtlich, welche den Gesuchsteller von einer Emigration abzuhalten vermögen. 6.2 Die Beschwerdeführenden bringen vor, der Gesuchsteller absolviere eine Ausbildung als Polytechniker am "Instituto Politecnico Loyola" in San Cristobal. Die Semesterferien würden jeweils von Anfang Juni bis Ende August dauern. Der Gesuchsteller wolle und müsse nach Ablauf seines Aufenthaltes in der Schweiz zwingend wieder in sein Heimatland zurückkehren um seine Ausbildung fortzusetzen. Gemäss dem Antragsformular für ein Schengen Visum wollte der Gesuchsteller jedoch am 15. April und somit deutlich vor Beginn der Semesterferien Anfang Juni in die Schweiz reisen. Mit Schreiben vom 9. März 2013 teilten die Beschwerdeführenden mit, der Gesuchsteller werde von Mai bis und mit August an der Universität pausieren, um bei ihnen Ferien zu machen. Die Tatsache, dass der Gesuchsteller bereit ist, seine Ausbildung bereits im April bzw. Mai zu unterbrechen, obwohl die Semesterferien erst Anfang Juni beginnen, lässt den Schluss zu, dass die Ausbildung und somit implizit die wirtschaftliche Unabhängigkeit für ihn nicht oberste Priorität hat. Demzufolge kann auf nicht allzugrosse Verpflichtungen im Zusammenhang mit seinem Studium geschlossen werden. Es ist festzuhalten, dass auf dieser Grundlage die Wiederausreise des Gesuchstellers noch nicht als gesichert eingestuft werden kann. 6.3 Vor dem allgemeinen und persönlichen Hintergrund durfte die Vorinstanz demnach davon ausgehen, dass keine hinreichende Gewähr für eine fristgerechte und anstandslose Wiederausreise des Gesuchstellers nach seinem Besuchsaufenthalt besteht. Zwar lässt sich diese Prognose nicht zu einer gesicherten Feststellung verdichten; sie genügt jedoch, um die Erteilung einer Einreisebewilligung, auf welche ohnehin kein Rechtsanspruch besteht, zu verweigern. 6.4 An der Richtigkeit dieser Einschätzung ändert auch die Tatsache nichts, dass die Beschwerdeführenden eine rechtzeitige Rückkehr des Gesuchstellers zugesichert haben. Die Integrität der Beschwerdeführenden in ihrer Eigenschaft als Gastgeber wird auch gar nicht in Zweifel gezogen. Indessen sind bei der Abwägung des Risikos einer nicht fristgerechten Wiederausreise nicht so sehr die Einstellung und die Ab­sichten der Gastgeber, sondern in erster Linie das mögliche Verhalten des Gastes selbst von Bedeutung. Nur Letzterer ist in der Lage, hinrei­chend Ge­währ für eine fristgerechte und anstandslo­se Wiederausreise zu bie­ten. Die Gastgeber können - wie dies in casu mit der Unterzeichnung der Verpflichtungserklärung am 17. Februar 2011 geschehen ist -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BVGE 2009/27 E. 9). Auch das Hinterlegen des Reisepasses bei der zuständigen Gemeinde nach bewilligter Einreise in die Schweiz würde eine Wiederausreise nicht sicherstellen, denn der Gesuchsteller könnte untertauchen und sich in der Schweiz anschliessend illegal aufhalten. 6.5In casu erachtet es das Bundesverwaltungsgericht auch nicht als erforderlich, dem Gesuchsteller ein Visum aus humanitären Gründen zu erteilen (vgl. E. 4.5). Angesichts der Tatsache, dass der Gesuchsteller ausserhalb der Semesterferien in der Schweiz Ferien machen möchte, ist die Absicht eines dreimonatigen Auslandaufenthalts zwecks Pflege der familiären Beziehungen anzuzweifeln. Zudem ist aufgrund des früheren Gesuchs um Familiennachzug nicht von einer gesicherten Wiederausreise auszugehen. Die familiären Beziehungen können ebenso durch regelmässige Besuche in der Dominikanischen Republik gepflegt werden. 7.7.1 Die Beschwerdeführenden bringen sodann vor, auch bei Familienangehörigen, die das Mündigkeitsalter überschritten hätten, müsse eine Verweigerung des Besuchs unter dem Gesichtspunkt von Art. 8 Abs. 2 EMRK und Art. 13 BV gerechtfertigt werden können. Eine generelle Verweigerung des unmittelbaren familiären Kontakts in der Schweiz mit dem Argument einer präventiven Vermeidung allfälliger fremdenpolizeilicher Interventionen sei nicht zulässig. Vorliegend sei zudem in keiner Weise berücksichtigt worden, dass die Beschwerdeführer beide Schweizer Bürger seien. 7.2 Art. 8 EMRK und der deckungsgleiche Art. 13 Abs. 1 BV dienen allgemein dem Schutz des Familien- und Privatle­bens. Auf die Teilgarantie des Familienlebens können sich ausländi­sche Personen berufen, die nahe Familienangehörige mit hinrei­chend ge­festigtem Anwesenheitsrecht haben, sofern das Familienleben in­takt ist und gelebt wird. Wird ihnen die Einreise oder der Aufenthalt verwei­gert, so kann darin eine Verletzung der EMRK begründet sein. Zu be­achten ist, dass die Konventionsgarantie das Familienleben als solches schützt, und nicht die freie Wahl des für den Aufbau und die Führung des Familienle­bens günstigsten Ortes. Ein Eingriff in den Schutzbereich des Fa­milienle­bens liegt daher in aller Regel nicht vor, wenn den Beteiligten ohne weite­res zugemutet werden kann, das Familienleben ausserhalb der Schweiz zu führen. Eine Interessenabwägung nach Art. 8 Abs. 2 EMRK erübrigt sich unter diesen Umständen. Anders verhält es sich, wenn den Beteilig­ten nicht oder nicht ohne weiteres zugemutet werden kann, in das Aus­land auszuweichen. In diesem Fall ist immer eine Interes­senabwägung nach Art. 8 Abs. 2 EMRK bzw. Art. 36 BV geboten, die sämtlichen Umständen des Einzelfalls umfassend Rechnung trägt (BGE 135 I 153 E. 2.1 S. 154 ff. mit Hinweisen). Art. 8 EMRK schützt in erster Linie die Kernfamilie, d.h. die Gemeinschaft der Ehegatten mit ihren minderjährigen Kindern (vgl. BGE 135 I 143 E. 1.3. S. 145 oder BGE 127 II 60 E. 1d/aa S. 64f.). Geht es um Personen, die nicht der eigentlichen Kernfamilie zuzurechnen sind, setzt eine schützenswerte familiäre Beziehung voraus, dass die um eine ausländerrechtliche Bewilligung ersuchende ausländische Person vom hier Anwesenheitsberechtigten abhängig ist. Die Abhängigkeit eines Menschen von einem andern kann sich unabhängig vom Alter ergeben, namentlich aus besonderen Betreuungs- und Pflegebedürfnissen wie bei körperlichen oder geistigen Behinderungen und schwerwiegenden Krankheiten (BGE 120 Ib 257 E. 1/d-e S. 260 ff. oder BVGE 2007/45 E. 5.3, je mit Hinweisen). Eine solche Konstellation liegt hier nicht vor. Beim Gesuchstellerhandelt es sich um einen jungen, gesunden Mann, der weder pflege- noch betreuungsbedürftig ist. Der Kontakt kann auch anders als mit einem Aufenthalt in der Schweiz aufrechterhalten werden (Briefverkehr, Videotelefonie, Telefonate oder durch Reisen in den Aufenthaltsstaat des Gesuchstellers). 8.Aus vorstehenden Erwägungen folgt, dass die angefochtene Verfügung im Lichte von Art. 49 VwVG nicht zu beanstanden ist. Die Beschwerde ist daher abzuweisen. 9.Entsprechend dem Ausgang des Verfahrens werden die unter­liegenden Be­schwerdeführenden kostenpflichtig (Art. 63 Abs. 1 VwVG). Die Ver­fahrenskos­ten sind auf Fr. 800.- festzusetzen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