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C-2638/2010 vom 21. März 2011</w:t>
      </w:r>
    </w:p>
    <w:p>
      <w:r>
        <w:t>Bundesverwaltungsgericht, 2011-03-21, DE</w:t>
      </w:r>
    </w:p>
    <w:p>
      <w:r>
        <w:rPr>
          <w:b/>
        </w:rPr>
        <w:t xml:space="preserve">Quelle: </w:t>
      </w:r>
      <w:r>
        <w:t>https://mcp.opencaselaw.ch/entscheid/bvger_C-2638_2010</w:t>
      </w:r>
    </w:p>
    <w:p>
      <w:r>
        <w:t>FR: TAF C-2638/2010 du 21 mars 2011</w:t>
      </w:r>
    </w:p>
    <w:p>
      <w:r>
        <w:t>IT: TAF C-2638/2010 del 21 marzo 2011</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2A.451/2002 vom 28. März 2003 E. 1.2, teilweise publ. in: BGE 129 II 215).</w:t>
      </w:r>
    </w:p>
    <w:p>
      <w:r>
        <w:rPr>
          <w:b/>
        </w:rPr>
        <w:t>E. 3</w:t>
      </w:r>
    </w:p>
    <w:p>
      <w:r>
        <w:t>Mit Blick auf die verlangten Rekrutierungsanstrengungen beantragt der Parteivertreter in formeller Hinsicht eine amtliche Erkundigung beim Schweizerischen Berufsdachverband der Psychologinnen und Psychologen (FSP).</w:t>
      </w:r>
    </w:p>
    <w:p>
      <w:r>
        <w:rPr>
          <w:b/>
        </w:rPr>
        <w:t>E. 3.1</w:t>
      </w:r>
    </w:p>
    <w:p>
      <w:r>
        <w:t>Art. 19 VwVG i.V.m. Art. 37 des Bundesgesetzes über den Zivilprozess vom 4. Dezember 1947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Art. 33 Abs. 1 VwVG, BGE 136 I 229 E. 5.3 S. 236 f. mit Hinweisen oder Urteile des Bundesgerichts 1C_193/2010 vom 4. November 2010 E. 2.8 und 1C_460/2008 vom 3. Februar 2009 E. 3.1 mit Hinweisen).</w:t>
      </w:r>
    </w:p>
    <w:p>
      <w:r>
        <w:rPr>
          <w:b/>
        </w:rPr>
        <w:t>E. 3.2</w:t>
      </w:r>
    </w:p>
    <w:p>
      <w:r>
        <w:t>Eine solche Situation liegt auch hier vor. Es wird nicht in Abrede gestellt, dass Schweizer Stellenanbieter der betreffenden Berufsgattung vorab in der Zeitschrift "Psychoscope" und auf der Internetseite www.psychologie nach Fachpersonal suchen. Ebenso wenig wird in Zweifel gezogen, dass über 100 Institute ausserhalb der Schweiz die vorerwähnte Zeitschrift abonniert haben, basiert diese Feststellung doch anscheinend auf einer Information der Redaktion an den Beschwerdeführer (siehe Ergänzung vom 13. Dezember 2009 zum Beschäftigungsgesuch). Von beiden Annahmen ist allerdings schon die Vorinstanz ausgegangen. Gleichwohl gelangte sie zum Schluss, die konkreten Suchbemühungen erwiesen sich als unzureichend. Entsprechende Abklärungen bei der FSP erübrigen sich daher. Somit besteht kein Anlass, den Sachverhalt im Sinne besagten Beweisantrages zu ergänzen.</w:t>
      </w:r>
    </w:p>
    <w:p>
      <w:r>
        <w:rPr>
          <w:b/>
        </w:rPr>
        <w:t>E. 4</w:t>
      </w:r>
    </w:p>
    <w:p>
      <w:r>
        <w:t>T._______ untersteht als Staatsangehöri­ge der Vereinigten Staaten von Amerika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Ihre Zulassung als soge­nannte Dritt­staatsangehörige zum schweizerischen Arbeitsmarkt richtet sich des­halb nach dem AuG und seinen Ausführungsverordnungen, ins­besondere der Verordnung vom 24. Oktober 2007 über Zulassung, Aufenthalt und Erwerbstätigkeit (VZAE, SR 142.201).</w:t>
      </w:r>
    </w:p>
    <w:p>
      <w:r>
        <w:rPr>
          <w:b/>
        </w:rPr>
        <w:t>E. 5.1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5.2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der kantonalen Arbeitsmarktbehörde vom 11. Januar 2010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 S. 11 f.; ferner Entscheide des Eid­genössischen und Justiz- und Polizeidepartements [EJPD], publiziert in Verwaltungspraxis der Bundesbehörden [VPB] 70.23, 67.62 und 66.66).</w:t>
      </w:r>
    </w:p>
    <w:p>
      <w:r>
        <w:rPr>
          <w:b/>
        </w:rPr>
        <w:t>E. 5.3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Zu beachten gilt es in diesem Zusammenhang die Begrenzungsmassnahmen (Art. 20 AuG), die Bestimmungen zum Vorrang (Art. 21 AuG), die Lohn- und Arbeitsbedingungen (Art. 22 AuG), die persönlichen Voraussetzungen (Art. 23 AuG) sowie das Erfordernis einer bedarfs­gerechten Wohnung (Art. 24 AuG). Grenzgängerinnen und Grenz­gänger unterstehen einem gesonderten Regime (Art. 25 AuG).</w:t>
      </w:r>
    </w:p>
    <w:p>
      <w:r>
        <w:rPr>
          <w:b/>
        </w:rPr>
        <w:t>E. 5.4</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seit dem 1. Januar 2011 eine spezielle Regelung (Art. 21 Abs. 3 AuG [zum Ganzen vgl. AS 2010 5957]). Eine Anstellung ist ferner nur möglich, wenn gleich­zeitig die orts-, berufs- und branchenüblichen Lohn- und Arbeits­bedingungen eingehalten werden (Art. 22 AuG).</w:t>
      </w:r>
    </w:p>
    <w:p>
      <w:r>
        <w:rPr>
          <w:b/>
        </w:rPr>
        <w:t>E. 5.5</w:t>
      </w:r>
    </w:p>
    <w:p>
      <w:r>
        <w:t>Kurzaufenthalts- und Aufenthaltsbewilligungen an Drittstaatsan­gehörige können sodann nur Führungskräften, Spezialistinnen und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Das duale System zu Gunsten von Schweizerinnen und Schweizern sowie Angehörigen der EU/EFTA-Staaten wird durch die Ausnahmegründe von Art. 23 Abs. 3 AuG durchbrochen und zwar wenn einer der folgenden Tatbestände erfüllt ist: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w:t>
      </w:r>
    </w:p>
    <w:p>
      <w:r>
        <w:rPr>
          <w:b/>
        </w:rPr>
        <w:t>E. 6.1</w:t>
      </w:r>
    </w:p>
    <w:p>
      <w:r>
        <w:t>Strittig ist vorliegend, ob die Voraussetzungen von Art. 21 AuG und Art. 23 AuG erfüllt sind. Deren Vorliegen kann nicht leichthin an­genommen werden, soll die Absicht des Gesetzgebers verwirklicht werden, die Zuwanderung aus dem Nicht-EU/EFTA-Raum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wie dies schon die per 1. Januar 2008 aufgehobene Verordnung vom 6. Oktober 1986 über die Begrenzung der Zahl der Ausländer (BVO, AS 1986 1791, zum vollständigen Quellennachweis vgl. Art. 91 Ziff. 5 VZAE) vor­gesehen hatte (zum Ganzen vgl. Botschaft vom 8. März 2002 zum Bundesgesetz über die Ausländerinnen und Aus­länder, in BBl 2002 3709, insbes. Ziff. 1.2.3 S. 3724 ff.; zu den früheren materiellen Zu­lassungsvoraussetzungen, die sich von den heutigen in grundsätz­licher Hinsicht nicht unterscheiden, siehe ferner Urteil des Bundes­verwaltungsgerichts C-4349/2008 vom 3. April 2009 E. 6.1 mit weiteren Hinweisen).</w:t>
      </w:r>
    </w:p>
    <w:p>
      <w:r>
        <w:rPr>
          <w:b/>
        </w:rPr>
        <w:t>E. 6.2</w:t>
      </w:r>
    </w:p>
    <w:p>
      <w:r>
        <w:t>Wie aus dem Sachverhalt hervorgeht, führt der Beschwerdeführer eine Praxis für Psychiatrie und Psychotherapie, in welcher er auch viele Migrantinnen und Migranten aus dem serbo-kroatischen Sprachgebiet be­treut. T._______ möchte er dort als delegierte Psychotherapeu­tin beschäftigen. In der delegierten Psychotherapie wird die psychotherapeu­tische Behandlung nicht vom Arzt selber vorgenommen, sondern unter dessen Aufsicht und Verantwortung an entsprechend ausge­bildete, nicht ärztliche Psychotherapeutinnen und Psychotherapeu­ten delegiert. Die Wunschkandidatin des Beschwerdeführers hat an den Uni­versitäten von Zagreb und Zadar eine Ausbildung zur Psychologin erfolg­reich abgeschlossen und - in der Schweiz, in Deutschland, Italien, Kroatien sowie vor allem den USA - danach zahlreiche Weiterbildungen auf dem Gebiete der Psychologie und Psychotherapie absolviert. Mit Er­folg abgeschlossen hat sie an der Universität Zadar zudem ein Studium in deutscher und italienischer Sprache. Von 1991 bis 1992 hielt sich die Arbeitnehmerin teilweise in der Schweiz auf. Ab Oktober 1992 bis September 2001 war sie in der Folge als Psychotherapeutin in einer Aussenstation für Drogenrehabilitation der "pro Juventute" in Italien tätig. Soweit auf Beschwerdeebene darauf Bezug genommen wird, gilt es klarzustellen, dass T._______ weder aus jenem Voraufenthalt hierzulande noch dem Engagement zu Gunsten der "pro Juventute" im Ausland einen Anspruch auf Ausübung einer Erwerbstätigkeit abzuleiten vermag. Es handelt sich hier vielmehr um ein neues, andersartiges Verfahren, in welchem ausschliesslich geprüft wird, ob die in Art. 18 - 24 AuG aufgelisteten Zulassungsvoraussetzungen erfüllt sind (Art. 40 Abs. 2 AuG i.V.m. Art. 83 ff. VZAE). Gleiches gilt mit Blick auf die inzwischen vorhandene kantonale Bewilligung vom 11. Juni 2010 zur selbständigen Berufsausübung der psychologischen Psychotherapie, die ebenfalls nicht von der Prüfung der obgenannten allgemeinen Erfordernisse entbindet.</w:t>
      </w:r>
    </w:p>
    <w:p>
      <w:r>
        <w:rPr>
          <w:b/>
        </w:rPr>
        <w:t>E. 6.3</w:t>
      </w:r>
    </w:p>
    <w:p>
      <w:r>
        <w:t>T._______ geniesst keine Rekrutierungspriorität, was zur Folge hat, dass ihre Zulassung erst möglich wäre, wenn für die Vakanz beim Beschwerdeführer weder einheimische Erwerbstätige noch solche aus dem EU/EFTA-Raum rekrutiert werden könnten (siehe E. 5.4 hievor). Das Prinzip des Vorranges inländischer Arbeitnehmerinnen und Arbeitnehmer nach Art. 21 AuG ist in jedem Fall und unabhängig von der Wirtschafts- und Arbeitsmarktlage zu beachten. Hierbei müssen die Arbeitgeberinnen und Arbeitgeber belegen, dass sie trotz umfassender Suchbemühungen keine geeigneten Arbeitskräfte aus dem Inland oder einem EU/EFTA-Staat finden konnten; sie haben mit anderen Worten den Nachweis zu erbringen, die Stelle vergeblich über die branchenüblichen Rekrutierungskanäle - beispielsweise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(vgl. Urteil des Bundesverwaltungsgerichts C-2216/2010 vom 12. August 2010 E. 7.3).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Weisungen des BFM zum Ausländerbereich, Kapitel 4.3.2, abrufbar unter: http://www.bfm.admin.ch/bfm/de/home/dokumentation/rechtsgrundlagen/weisungen_und_kreisschreiben/I.auslaenderbereich&gt; [nachfolgend: Weisungen]).</w:t>
      </w:r>
    </w:p>
    <w:p>
      <w:r>
        <w:rPr>
          <w:b/>
        </w:rPr>
        <w:t>E. 6.4</w:t>
      </w:r>
    </w:p>
    <w:p>
      <w:r>
        <w:t>Was die Auslegung von Art. 21 AuG und Art. 23 AuG anbelangt, stützt die Vorinstanz ihre ablehnende Haltung nicht zuletzt auf die eben erwähnten Weisungen zum Ausländerbereich. Als Verwaltungsweisungen bestehen ihre Hauptfunktionen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Ermessenswaltung der Vorinstanz abzuweichen, zumal wenn wie hier Verwaltungsweisungen vorliegen, welche das Ermessen konkretisieren und eine dem Einzelfall angepasste und gerecht werdende Auslegung der anwendbaren gesetzlichen Bestimmungen zulassen (Pierre Tschannen/Ulrich Zimmerli/Markus Müller, Allgemeines Verwaltungsrecht, 3. Aufl., Bern 2009, § 41 Rz. 11 ff.; Ulrich Häfelin/Georg Müller/Felix Uhlmann, Allgemeines Verwaltungsrecht, 5. Aufl., Zürich/Basel/Genf 2006,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(vgl. statt vieler Urteil des Bundesverwaltungsgerichts C-4642/2007 vom 7. Dezember 2007 E. 5.1).</w:t>
      </w:r>
    </w:p>
    <w:p>
      <w:r>
        <w:rPr>
          <w:b/>
        </w:rPr>
        <w:t>E. 6.5</w:t>
      </w:r>
    </w:p>
    <w:p>
      <w:r>
        <w:t>Der Beschwerdeführer hat das Beschäftigungsgesuch für die Arbeitnehmerin am 9. Juni 2009 eingereicht. Laut Darstellung in der Beschwerdeschrift vom 16. April 2010 wurde die Stelle während zweimal zwei Monaten in der Fachzeitschrift "Psychoscope" ausgeschrieben und war ebenso lange auf der Internetseite www.psychologie.ch aufgeschaltet. Der Rechtsvertreter bezieht sich dabei auf die Äusserungen seines Mandanten in der Ergänzung zum Beschäftigungsgesuch vom 13. Dezember 2009. Die fraglichen Angaben sind durch eine Rechnung vom 30. März 2009 für ein Webinserat auf www.psychologie.ch (erschienen vom 2. Februar bis 4. März 2009, vgl. Beschwerdebeilage 13) und eine solche vom 7. Oktober 2009 für ein Kleininserat in "Psychoscope" (Monate August/September 2009, vgl. Beschwerdebeilage 12) teilweise belegt. Zeitliche Abfolge und Dauer der Ausschreibungen erhellen, dass T._______ den Arbeitsmarktbehörden ohne ernsthafte vorgängige Suchbemühungen als Wunschkandidatin präsentiert wurde. Rund die Hälfte der Inserate erschien im Nachhinein, das heisst erst nach der Kontaktaufnahme des Beschwerdeführers mit ihr. Im Kontext der unter E. 6.3 umschriebenen Anforderungen erweisen sich die aktenmässig erstellten Bemühungen sowohl in zeitlicher als auch in räumlicher Hinsicht als unzureichend. Anzumerken wäre an dieser Stelle, dass Suchbemühungen anderer Marktteilnehmer (siehe Beilage zur Replik) nicht dem Beschwerdeführer angerechnet werden können (vgl. Urteil des Bundesverwaltungsgerichts C-2216/2010 vom 12. August 2010 E. 7.4 mit Hinweis).</w:t>
      </w:r>
    </w:p>
    <w:p>
      <w:r>
        <w:rPr>
          <w:b/>
        </w:rPr>
        <w:t>E. 6.6</w:t>
      </w:r>
    </w:p>
    <w:p>
      <w:r>
        <w:t>Der Rechtsvertreter gibt ferner zu bedenken, dass die inländische Fachzeitschrift "Psychoscope" von über 100 Instituten ausserhalb der Schweiz abonniert werde. Diese Feststellung allein ist nicht geeignet, seinen Mandanten von zusätzlichen Rekrutierungsanstrengungen zu befreien. Laut Stellenbeschreibung vom 9. Juni 2009 soll die gesuchte Person als Psychologin oder Psychotherapeutin im Stande sein, alle ICD-10 Störungen (ICD-10: aktuelle, weltweit anerkannte statistische Klassifikation der Krankheiten und verwandter Gesundheitsprobleme) bei den kroatischen, serbischen und bosnischen Patienten des Beschwerdeführers zu behandeln. Aufgrund des Anforderungsprofils kämen für die bestehende Vakanz - im Falle längerer erfolgloser Bemühungen im Inland - aber grundsätzlich auch Fachkräfte der betreffenden Balkanregionen in Betracht, die in anderen Ländern der EU oder EFTA über ein Anwesenheitsrecht verfügen. Nicht unbedeutende Bevölkerungsanteile mit kroatischem, serbischem und/oder bosnischem Migrationshintergrund finden sich beispielsweise in Deutschland, Österreich, Italien oder den Niederlanden (vgl. www.migration-info.de). Das Verlangen entsprechender Belege kann daher keineswegs als sinn- oder zwecklos bezeichnet werden. Vor diesem Hintergrund erweisen sich die konkreten Anstrengungen als zu bescheiden. Angezeigt gewesen wären, wie mehrfach angetönt, stattdessen ausgedehnte und zielorientierte Suchen im EU/EFTA-Raum. Die Zahl ausländischer Abonnenten der Zeitschrift "Psychoscope" ändert im Übrigen nichts an der starken Fokussierung der tatsächlich in Auftrag gegebenen Inserate auf die Schweiz. Die ausländerrechtlichen Vorschriften lassen es mithin nicht zu, die Suchbemühungen im hier praktizierten Sinne einzuschränken.</w:t>
      </w:r>
    </w:p>
    <w:p>
      <w:r>
        <w:rPr>
          <w:b/>
        </w:rPr>
        <w:t>E. 6.7</w:t>
      </w:r>
    </w:p>
    <w:p>
      <w:r>
        <w:t>Ein Haupthindernis bei der Anstellung einer geeigneten Arbeitskraft bilden - wie erwähnt - die verlangten Sprachkenntnisse. Gegenüber der kantonalen Arbeitsmarktbehörde gab der Beschwerdeführer am 9. Juni 2009 an, zwei fachlich geeignete Kandidaten abgelehnt zu haben, weil sie nicht über die gewünschten Kenntnisse der kroatischen, serbischen und bosnischen Sprache verfügten. Das Bundesverwaltungsgericht hat im Falle eines türkischen Staatsangehörigen, der sich als Facharzt für Psychiatrie und Psychotherapie in einer Gemeinschaftspraxis betätigten wollte, hierzu festgehalten, eine zu starke Gewichtung des Aspekts der Kommunikationsmöglichkeit in der Muttersprache von Patientinnen und Patienten widerspräche den verstärkten Bestrebungen des Gesetzgebers zur Förderung der Integration der ausländischen Wohnbevölkerung (vgl. Urteil des Bundesverwaltungsgerichts C-7445/2007 vom 16. Januar 2009 E. 8.2). Die Bedeutung der Sprache als Arbeitsinstrument in der Psychotherapie wird nicht verkannt. Dessen ungeachtet können Kenntnisse bestimmter Fremdsprachen, anders als eine spezifische psychologische bzw. psychotherapeutische Aus- und Weiterbildung, nicht als ein prägendes Merkmal der zu besetzenden Stelle oder als eine dem gängigen Berufsbild entsprechende Anforderung angesehen werden. Die Weisungen zum Ausländerbereich (konkret die Weisungen 4.7.8 zum Gesundheitswesen) sehen derartige Kriterien bei der Prüfung eines Beschäftigungsgesuches denn nirgends vor. Verlangt werden - wenn schon - Deutschkenntnisse (so in der Alternativmedizin oder bei den Operationspflegefachkräften, vgl. Ziff. 4.7.8.1.2.B bzw. 4.7.8.2.2 der Weisungen), was sich mit den heutigen ausländerrechtlichen Rahmenbedingungen deckt (vgl. Art. 4 AuG oder die Verordnung vom 24. Oktober 2007 über die Integration von Ausländerinnen und Ausländern [VIntA, SR 142.205]). Davon abgesehen führte das Mitberücksichtigen sprachlicher Kompetenzen in Berufen des Gesundheitsbereiches faktisch zu einer unerwünschten Aushöhlung der arbeitsmarktlichen Zulassungsvorschriften (siehe dazu die Erläuterungen in der Vernehmlassung). Restbeeinträchtigungen in Form sprachlicher Barrieren lassen sich von daher kaum vermeiden, sind aus präjudiziellen wie auch ganz grundsätzlichen Überlegungen (Gefahr des Überangebots an ärztlichen Dienstleistungen) indessen in Kauf zu nehmen. Der vom Parteivertreter eingereichte Artikel aus der Schweizerischen Ärztezeitung (vgl. Beilage zur Replik) enthält Handlungsanregungen für die Behandlung von Patientinnen und Patienten mit Migrationshintergrund. Gegebenenfalls ist auf solche Alternativen zurückzugreifen, um die angesprochenen Verständigungsprobleme zu mildern. Zu ergänzen wäre, dass auch die mehrfach zitierten Weisungen im Gesundheitswesen in jedem Fall auf dem Nachweis von erfolglosen Rekrutierungsbemühungen im Inland und im EU/EFTA-Raum beharren. Wie dargetan (siehe E. 6.5 und 6.6 hiervor), sind die belegten Suchbemühungen in casu aber unabhängig von den Sprachkenntnissen der in Frage kommenden Kandidatinnen und Kandidaten ungenügend. Dass T._______ sich von ihrem Werdegang und ihren Sprachkenntnissen her bestens in die Praxis des Beschwerdeführers einfügen würde, soll nicht in Abrede gestellt werden. Für die Beurteilung der Streitsache ist dies jedoch nicht erheblich. Die Zustimmung zum arbeitsmarktlichen Vorentscheid scheitert somit schon an den Erfordernissen von Art. 21 AuG.</w:t>
      </w:r>
    </w:p>
    <w:p>
      <w:r>
        <w:rPr>
          <w:b/>
        </w:rPr>
        <w:t>E. 6.8</w:t>
      </w:r>
    </w:p>
    <w:p>
      <w:r>
        <w:t>Bei dieser Sachlage braucht nicht abschliessend geprüft zu werden, ob die Arbeitnehmerin die persönlichen Voraussetzungen gemäss Art. 23 AuG erfüllt.</w:t>
      </w:r>
    </w:p>
    <w:p>
      <w:r>
        <w:rPr>
          <w:b/>
        </w:rPr>
        <w:t>E. 7</w:t>
      </w:r>
    </w:p>
    <w:p>
      <w:r>
        <w:t>Zusammenfassend ergibt sich, dass die angefochtene Verfügung zu Recht ergangen ist (Art. 49 VwVG). Die Beschwerde ist deshalb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