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C-2630/2014 vom 25. April 2018</w:t>
      </w:r>
    </w:p>
    <w:p>
      <w:r>
        <w:t>Bundesverwaltungsgericht, 2018-04-25, IT</w:t>
      </w:r>
    </w:p>
    <w:p>
      <w:r>
        <w:rPr>
          <w:b/>
        </w:rPr>
        <w:t xml:space="preserve">Quelle: </w:t>
      </w:r>
      <w:r>
        <w:t>https://mcp.opencaselaw.ch/entscheid/bvger_C-2630_2014</w:t>
      </w:r>
    </w:p>
    <w:p>
      <w:r>
        <w:t>FR: TAF C-2630/2014 du 25 avril 2018</w:t>
      </w:r>
    </w:p>
    <w:p>
      <w:r>
        <w:t>IT: TAF C-2630/2014 del 25 aprile 2018</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Inoltre, con versamento del 10 settembre 2014 (doc. TAF 12), il ricorrente ha tempestivamente corrisposto l'anticipo spese richiesto (art. 21 cpv. 3 e 63 cpv. 4 PA).</w:t>
      </w:r>
    </w:p>
    <w:p>
      <w:r>
        <w:rPr>
          <w:b/>
        </w:rPr>
        <w:t>E. 1.5</w:t>
      </w:r>
    </w:p>
    <w:p>
      <w:r>
        <w:t>Va peraltro precisato che nel caso di specie sono oggetto del litigio entrambe le decisioni dell'UAIE del 14 aprile 2014 concernenti il ricorrente.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Ratione temporis, queste modifiche, nella misura in cui dovessero concernere questioni inerenti al presente litigio, non si applicano nel caso di specie (DTF 142 V 590 consid. 4.1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domanda di rendita è stata presentata il 26 marzo 2012 (cfr. consid. B della presente sentenza). Ne discende che in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14 aprile 2014.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per più di un anno (cfr. doc. A 63 pagg. 230 e segg. e doc. A 64 pagg. 239 e segg.).</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7</w:t>
      </w:r>
    </w:p>
    <w:p>
      <w:r>
        <w:t>Una rendita limitata e/o crescente nel tempo corrisponde, materialmente, ad una revisione ai sensi dell'art. 17 LPGA e se ne deve pertanto seguire i principi.</w:t>
      </w:r>
    </w:p>
    <w:p>
      <w:r>
        <w:rPr>
          <w:b/>
        </w:rPr>
        <w:t>E. 7.1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8</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9.3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9.4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9.5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9.6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10</w:t>
      </w:r>
    </w:p>
    <w:p>
      <w:r>
        <w:t>Nel caso concreto, occorre verificare se l'istruttoria effettuata dall'autorità inferiore sia sufficiente, o meno, per statuire nel caso di specie.</w:t>
      </w:r>
    </w:p>
    <w:p>
      <w:r>
        <w:rPr>
          <w:b/>
        </w:rPr>
        <w:t>E. 10.1</w:t>
      </w:r>
    </w:p>
    <w:p>
      <w:r>
        <w:t>È incontestato - né appare esservi motivo per questo Tribunale di intervenire d'ufficio - che, già solo in considerazione delle patologie ortopediche-reumatologiche rilevate, la rendita intera accordata al ricorrente a decorrere dal 1° settembre 2012 e fino al 31 maggio 2013 è legittimata e giustificata, rispettivamente che la mezza rendita assegnata a far tempo dal 1° giugno 2013 resta acquisita (benché la decisione del 14 aprile 2014 n. 2 mediante la quale è stata accordata la mezza rendita debba essere annullata per i motivi di cui si dirà in seguito al consid. 10.2 della presente sentenza, senza possibilità di una nuova decisione dell'UAIE a detrimento dell'insorgente [cfr. consid. 12.2 del presente giudizio]). Esse sono fondate su sufficiente documentazione medica ortopedico-reumatologica (cfr. in particolare il rapporto finale del 25 febbraio 2013, con visita dell'interessato, del dott. C._______, medico del SMR specialista in medicina interna [doc. A 28 pagg. 139 e segg.]) e una convincente valutazione delle conseguenti incapacità lavorative da parte del medesimo medico del SMR. In sostanza, già solo a seguito delle patologie ortopedico-reumatologiche rilevate - ossia "spalla destra congelata in stato dopo duplice intervento per ricostruzione cuffia rotatori spalla destra dominante (10 ottobre 2011 e 3 ottobre 2012)", quali diagnosi con influsso sulla capacità lavorativa, e "stato dopo artroscopia spalla sinistra (2 aprile 2010) e HCV positivo", quali diagnosi senza influsso sulla capacità lavorativa -, è stata legittimamente ritenuta per l'insorgente un'incapacità lavorativa nell'attività abituale totale dall'8 marzo 2011, del 50% dal 9 settembre 2011 e nuovamente totale dal 26 settembre 2011 e continua, mentre in attività adeguate è stata ritenuta un'incapacità lavorativa totale dall'8 marzo 2011, del 50% dal 9 settembre 2011, nuovamente totale dal 26 settembre 2011 e almeno del 50% dal 25 febbraio 2011 (cfr. anche doc. A 5 pag. 10 [rapporto del 12 aprile 2012 del dott. L._______, specialista in chirurgia ortopedica] e doc. A 12 pag. 33 [annotazione del 25 aprile 2012 del dott. M._______, medico del SMR, specialista in chirurgia]). Tali attestate incapacità lavorative comportano sicuramente il riconoscimento, da parte dell'assicurazione per l'invalidità svizzera, di una rendita intera dal 1° settembre 2012 (6 mesi dopo l'inoltro della domanda del marzo 2012) al 31 maggio 2013 e di almeno mezza rendita dal 1° giugno 2013 (3 mesi dopo l'indicato miglioramento alla visita del 25 febbraio 2013 [doc. A 28 pagg. 139 e segg.]).</w:t>
      </w:r>
    </w:p>
    <w:p>
      <w:r>
        <w:rPr>
          <w:b/>
        </w:rPr>
        <w:t>E. 10.2</w:t>
      </w:r>
    </w:p>
    <w:p>
      <w:r>
        <w:t>Per quanto attiene invece al diritto ad un'eventuale rendita superiore alla mezza rendita accordata dal 1° giugno 2013, si rileva quanto segue. Gli atti di causa non consentono di condividere la conclusione cui è giunta l'autorità inferiore, in particolare per quanto attiene all'evocato miglioramento dello stato di salute dell'insorgente intervenuto il 25 febbraio 2013.</w:t>
      </w:r>
    </w:p>
    <w:p>
      <w:r>
        <w:rPr>
          <w:b/>
        </w:rPr>
        <w:t>E. 10.2.1</w:t>
      </w:r>
    </w:p>
    <w:p>
      <w:r>
        <w:t>Secondo la giurisprudenza del Tribunale federale, a un apprezzamento medico, di per sé completo, condivisibile e concludente, che avrebbe piena forza probatoria nell'ambito di un primo esame del diritto alla rendita, fa di regola difetto il necessario valore probatorio qualora nell'ambito di una procedura di revisione esso non si esprima a sufficienza sulla questione di sapere in che modo è intervenuto un effettivo miglioramento dello stato di salute (cfr. sentenza del TF 9C_244/2017 del 26 ottobre 2017).</w:t>
      </w:r>
    </w:p>
    <w:p>
      <w:r>
        <w:rPr>
          <w:b/>
        </w:rPr>
        <w:t>E. 10.2.2</w:t>
      </w:r>
    </w:p>
    <w:p>
      <w:r>
        <w:t>Al riguardo, va rilevato che né nel rapporto finale del 25 febbraio 2013, con visita dell'assicurato, del dott. C._______ (doc. A 28 pag. 139), né nella sua annotazione del 10 settembre 2013 (doc. A 41 pag. 185), è stato indicato in cosa consisterebbe il miglioramento dello stato di salute dell'interessato a decorrere dal 25 febbraio 2013. Nemmeno appare poi con la sufficiente chiarezza in che modo si sarebbe poi manifestato il peggioramento ritenuto dal menzionato medico del SMR nell'annotazione del 14 ottobre 2013 (doc. A 51 pag. 205). In quest'ultima annotazione, il medico del SMR, dopo avere visionato i certificati del 24 settembre 2013 del dott. F._______, medico chirurgo, specialista in reumatologia (doc. A 46 pag. 195) e del 25 settembre 2013 del dott. G._______, medico chirurgo (doc. A 46 pag. 197), ha ritenuto giustificata un'incapacità lavorativa totale in qualsiasi attività a decorrere dal 24 settembre 2013. Non è tuttavia dato di sapere in che modo lo stato di salute dell'insorgente sia dapprima migliorato (il 25 febbraio 2013) ed in seguito peggiorato (il 24 settembre 2013). Indicazioni chiare e precise al riguardo non emergono nemmeno dalle annotazioni del 16 marzo e del 21 marzo 2014 del dott. I._______, medico del SMR (doc. A 57 pag. 222 e doc. A 59 pag. 224), il quale ha ripreso solo in parte le conclusioni del collega dott. C._______. Infatti, il dott. I._______ ha invece ritenuto che la documentazione medica non mostrasse alcun peggioramento ed ha confermato la conclusioni di cui al rapporto finale del 25 febbraio 2013 del dott. C._______, omettendo però di indicare pure lui in cosa consisterebbe il miglioramento dello stato di salute del ricorrente rispettivamente il motivo della sua ritrovata capacità lavorativa parziale in attività sostitutive adeguate. Senza i necessari approfondimenti al riguardo non è tuttavia possibile concludere nel senso della probabilità preponderante ad un miglioramento dello stato di salute del ricorrente a decorrere dal 25 febbraio 2013.</w:t>
      </w:r>
    </w:p>
    <w:p>
      <w:r>
        <w:rPr>
          <w:b/>
        </w:rPr>
        <w:t>E. 10.2.3</w:t>
      </w:r>
    </w:p>
    <w:p>
      <w:r>
        <w:t>Occorre altresì rilevare che dall'incarto dell'autorità inferiore emerge della documentazione di data anteriore alla decisione impugnata che fornisce concreti indizi circa la sussistenza di una problematica psichiatrica, segnatamente l'assunzione di medicamenti per trattare uno stato d'ansia, suscettibile di incidere sulla residua capacità lavorativa del ricorrente e che non è stata sufficientemente acclarata. In particolare, nella valutazione del 18 giugno 2013 del consulente in integrazione professionale (doc. A 35 pagg. 155 e segg.) è indicato che "ogni tanto gli (al ricorrente) viene l'ansia e assume E._______". Il consulente ha concluso che lo stato di salute psicofisico dell'interessato preclude che il medesimo possa avere la lucidità e la capacità di resistenza per svolgere un provvedimento professionale. Nel certificato del 15 gennaio 2014 del dott. F._______, medico chirurgo, specialista in reumatologia (doc. A 55 pag. 213), è, fra le altre cose, indicato che l'interessato assume il medicamento N._______ più volte al giorno. È noto che sia il E._______ che il N._______ sono psicofarmaci facenti parte della categoria delle benzodiazepine. In particolare il E._______ è assunto per il trattamento degli stati ansiosi e dell'insonnia: dagli attacchi di panico all'agorafobia, all'ipocondria e situazioni di stress e ansia generalizzata. Mentre il N._______ viene assunto per trattare i disturbi di ansia, l'insonnia e gli spasmi muscolari. Quanto alla presenza di una patologia psichiatrica e all'assunzione dei menzionati psicofarmaci, agli atti non risulta né un certificato medico con una diagnosi precisa espressa da uno specialista psichiatrico fondata su criteri di classificazione riconosciuti scientificamente, né una valutazione sulla gravità dell'affezione e le specifiche conseguenze sulla residua capacità lavorativa residua dell'insorgente (cfr. sulla questione pure il consid. 9.5 della presente sentenza). Nonostante i summenzionati indizi risultanti dalle carte processuali, da parte dei medici del SMR non è stata fatta alcuna analisi con riferimento alla sussistenza di una problematica psichiatrica e della sua eventuale incidenza sulla capacità lavorativa.</w:t>
      </w:r>
    </w:p>
    <w:p>
      <w:r>
        <w:rPr>
          <w:b/>
        </w:rPr>
        <w:t>E. 10.3</w:t>
      </w:r>
    </w:p>
    <w:p>
      <w:r>
        <w:t>Ne discende, in conclusione, che in assenza di sufficienti accertamenti in ambito ortopedico-reumatologico e psichiatrico, l'istruttoria dell'autorità inferiore si rileva carente. Non risulta altresì possibile, in tali condizioni, determinarsi, con il grado della verosimiglianza preponderante valido nelle assicurazioni sociali, sullo stato di salute dell'insorgente e la relativa conseguenza sulla residua capacità lavorativa del medesimo.</w:t>
      </w:r>
    </w:p>
    <w:p>
      <w:r>
        <w:rPr>
          <w:b/>
        </w:rPr>
        <w:t>E. 11</w:t>
      </w:r>
    </w:p>
    <w:p>
      <w:r>
        <w:t>Per conseguenza, la decisione impugnata del 14 aprile 2014 mediante la quale l'UAIE ha riconosciuto all'interessato una mezza rendita a decorrere dal 1° giugno 2013 (decisione n. 2), fondata su un accertamento insufficiente dei fatti giuridicamente rilevanti dal profilo ortopedico-reumatologico e psichiatrico, viola il diritto federale ed incorre nell'annullamento.</w:t>
      </w:r>
    </w:p>
    <w:p>
      <w:r>
        <w:rPr>
          <w:b/>
        </w:rPr>
        <w:t>E. 12.1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limitatamente al periodo successivo al 25 febbraio 2013 (cfr. consid. 10.2 del presente giudizio), con riferimento allo stato di salute del ricorrente, segnatamente con una perizia interdisciplinare in ambito ortopedico-reumatologico e psichiatrico (cfr. sentenza del TF 9C_ 235/2013 del 10 settembre 2013 consid. 3.2 con rinvii e sentenza del TAF C-6436/2014 del 10 luglio 2017 consid. 11.1; cfr. anche, sulla possibilità di un rinvio all'autorità inferiore in siffatte circostanze [accertamento manifestamente insufficiente dei fatti giuridicamente rilevanti da parte dell'autorità inferiore, detta autorità non avendo esperito i necessari accertamenti per la determinazione dello stato di salute del ricorrente] DTF 137 V 210 consid. 4.4.1.4; cfr. altresì sentenza del TF 9C_162/2007 del 3 aprile 2008 consid. 2.3 con rinvii [cfr. consid. 8 del presente giudizio]), e con ogni ulteriore esame che l'evoluzione nel tempo dello stato di salute del ricorrente dovesse rendere necessario, nonché a pronunciare una nuova decisione. Al riguardo, va altresì rammentato che in materia di revisione di una rendita incombe all'autorità inferiore di dimostrare l'intervenuto cambiamento significativo dello stato di salute dell'assicurato (nella presente fattispecie a decorrere dal 25 febbraio 2013) conto tenuto dell'insieme delle patologie di cui soffre.</w:t>
      </w:r>
    </w:p>
    <w:p>
      <w:r>
        <w:rPr>
          <w:b/>
        </w:rPr>
        <w:t>E. 12.2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accordata al ricorrente dal 1° settembre 2012 al 31 maggio 2013 (decisione n. 1) rispettivamente la mezza rendita riconosciuta dal 1° giugno 2013 (decisione n. 2) riconducibili alle sole problematiche alla spalla destra, hanno da ritenersi siccome già acquisite, le stesse non essendo state contestate e risultando giustificate (cfr. consid. 10.1 del presente giudizio). A seguito della presente sentenza, resta aperta solo la questione di sapere se gli ulteriori accertamenti sulla residua capacità lavorativa giustificano, contrariamente a quanto ritenuto nella decisione impugnata, l'attribuzione di una rendita maggiore alla mezza rendita già riconosciuta a decorrere dal 1° giugno 2013 (cfr, al riguardo, sentenze del TAF C-1316/2014 del 13 marzo 2018 consid. 12.3 e C-2736/2014 dell'8 dicembre 2017 consid. 14.3).</w:t>
      </w:r>
    </w:p>
    <w:p>
      <w:r>
        <w:rPr>
          <w:b/>
        </w:rPr>
        <w:t>E. 13.1</w:t>
      </w:r>
    </w:p>
    <w:p>
      <w:r>
        <w:t>Visto l'esito della causa, non sono prelevate delle spese processuali (art. 63 PA). L'anticipo equivalente alle presunte spese processuali di fr. 400.-, versato il 10 settembre 2014, sarà restituito al ricorrente allorquando il presente giudizio sarà cresciuto in giudicato.</w:t>
      </w:r>
    </w:p>
    <w:p>
      <w:r>
        <w:rPr>
          <w:b/>
        </w:rPr>
        <w:t>E. 13.2</w:t>
      </w:r>
    </w:p>
    <w:p>
      <w:r>
        <w:t>Ritenuto che l'insorgente non è rappresentato in questa sede e che non risulta che abbia dovuto sopportare delle spese indispensabili e relativamente elevate in relazione alla presente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