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C-262/2006 vom 13. Januar 2009</w:t>
      </w:r>
    </w:p>
    <w:p>
      <w:r>
        <w:t>Bundesverwaltungsgericht, 2009-01-13, FR</w:t>
      </w:r>
    </w:p>
    <w:p>
      <w:r>
        <w:rPr>
          <w:b/>
        </w:rPr>
        <w:t xml:space="preserve">Quelle: </w:t>
      </w:r>
      <w:r>
        <w:t>https://mcp.opencaselaw.ch/entscheid/bvger_C-262_2006</w:t>
      </w:r>
    </w:p>
    <w:p>
      <w:r>
        <w:t>FR: TAF C-262/2006 du 13 janvier 2009</w:t>
      </w:r>
    </w:p>
    <w:p>
      <w:r>
        <w:t>IT: TAF C-262/2006 del 13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qui est directement touché par la décision entreprise, a qualité pour recourir (cf. art. 48 al. 1 PA). Présenté dans la forme et les délais prescrits par la loi, son recours est recevable (cf. art. 50 et art. 52 PA), sous réserve toutefois du ch. 2 ci-après.</w:t>
      </w:r>
    </w:p>
    <w:p>
      <w:r>
        <w:rPr>
          <w:b/>
        </w:rPr>
        <w:t>E. 1.7</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in ATF 129 II 215).</w:t>
      </w:r>
    </w:p>
    <w:p>
      <w:r>
        <w:rPr>
          <w:b/>
        </w:rPr>
        <w:t>E. 2</w:t>
      </w:r>
    </w:p>
    <w:p>
      <w:r>
        <w:t>A titre préliminaire, le Tribunal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Dans la mesure ou l'examen du recours administratif se limite à la question de savoir si le recourant (lui-même et non les membres de sa famille) peut bénéficier d'une exception aux mesures de limitation en vertu de l'art. 13 let. f OLE , la conclusion du recours tendant à l'octroi d'une autorisation de séjour en faveur de A._______, son épouse et ses deux enfants est dès lors irrecevable (ATF 123 II 125 consid. 2 in fine). Cela étant, compte tenu du fait que l'OCP a proposé l'octroi d'une exception aux mesures de limitation en faveur de A._______ tout en se déclarant disposé à régler la situation de l'épouse et des deux enfants du prénommé au titre du regroupement familial, si une exception aux mesures de limitation lui était accordée, la situation de toute la famille doit être prise en considération.</w:t>
      </w:r>
    </w:p>
    <w:p>
      <w:r>
        <w:rPr>
          <w:b/>
        </w:rPr>
        <w:t>E. 3</w:t>
      </w:r>
    </w:p>
    <w:p>
      <w:r>
        <w:t>Dans la mesure où le recourant invoque un vice de procédure, reprochant en particulier à l'autorité inférieure le caractère sommaire de la motivation de sa décision, il convient d'examiner en priorité ce grief.</w:t>
      </w:r>
    </w:p>
    <w:p>
      <w:r>
        <w:rPr>
          <w:b/>
        </w:rPr>
        <w:t>E. 3.1</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(cf. notamment ATF 130 II 473 consid. 4.1, 130 II 530 consid. 4.3; 129 I 232 consid. 3.2). Cette obligation est cependant définie avant tout par les dispositions spéciales de procédure et, en particulier, par l'art. 35 PA qui n'en fixe toutefois pas les limites. A teneur de l'al. 1 de cette dernière disposition, les autorités sont tenues de motiver leurs décisions écrites. Selon la jurisprudence, les art. 35 al. 1 et 61 al. 2 PA ont la même portée que le droit d'obtenir une décision motivée qui a été déduit du droit d'être entendu formalisé à l'art. 29 al. 2 Cst. (cf. arrêts du Tribunal fédéral I 293/02 / I 302/02 du 21 juillet 2003, consid. 2.2, et H 249/00 du 27 mars 2001, consid. 4a).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(ATF 130 II 530 consid. 4.3; 129 I 232 consid. 3.2; 126 I 97 consid. 2b; 112 Ia 107 consid. 2b). Elle peut ainsi passer sous silence ce qui, sans arbitraire, lui paraît à l'évidence non établi ou sans pertinence (cf. arrêt 5P.408/2004 du 10 janvier 2005, consid. 2.2 et réf. citées). Exceptionnellement, une éventuelle violation du droit d'être entendu peut être guérie lorsque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 JAAC 68.133 consid. 2.2).</w:t>
      </w:r>
    </w:p>
    <w:p>
      <w:r>
        <w:rPr>
          <w:b/>
        </w:rPr>
        <w:t>E. 3.2</w:t>
      </w:r>
    </w:p>
    <w:p>
      <w:r>
        <w:t>En l'espèce, si la motivation contenue dans la décision querellée est certes succincte, l'ODM s'est néanmoins prononcé sur les principaux arguments de la requête, de sorte que le mandataire de l'intéressé a été parfaitement en mesure de saisir les éléments essentiels sur lesquels l'autorité intimée s'est fondée pour justifier sa position. Preuve en est le mémoire de recours circonstancié qu'il a déposé le 15 juillet 2005. En tout état de cause, même si une violation de l'obligation de motiver avait dû être constatée, ce vice devrait être considéré comme guéri, dès lors que l'autorité inférieure a précisé sa motivation dans le cadre de la procédure d'échange d'écritures, en prenant une nouvelle fois position sur les arguments décisifs dans son préavis et en les explicitant, et que le recourant a ensuite eu la possibilité de se prononcer sur la présente cause et de faire ainsi entendre son point de vue à satisfaction de droit (cf. ATF 116 V 28 consid. 4b). A ce propos, le TAF relève d'ailleurs que l'essentiel de l'argumentation présentée par A._______ dans le cadre de la procédure de recours avait déjà été avancé dans sa requête à l'OCP du 24 février 2005, complété le 17 mars 2005, et repose sur des pièces figurant déjà dans le dossier cantonal (cf. les lettres des 24 février et 17 mars 2005 adressées à l'OCP, et les pièces annexées à celles-ci). De plus, l'intéressé n'a jamais présenté de demande écrite à l'autorité de recours en vue de l'octroi d'un délai pour le dépôt d'un mémoire ampliatif, ce qui tend à démontrer qu'il ne s'est pas senti lésé par les possibilités qui lui ont été offertes dans le cadre de la procédure de recours pour faire valoir ses moyens.</w:t>
      </w:r>
    </w:p>
    <w:p>
      <w:r>
        <w:rPr>
          <w:b/>
        </w:rPr>
        <w:t>E. 3.3</w:t>
      </w:r>
    </w:p>
    <w:p>
      <w:r>
        <w:t>Dans ces circonstances, le moyen tiré de la violation du droit d'être entendu doit être écarté.</w:t>
      </w:r>
    </w:p>
    <w:p>
      <w:r>
        <w:rPr>
          <w:b/>
        </w:rPr>
        <w:t>E. 4.1</w:t>
      </w:r>
    </w:p>
    <w:p>
      <w:r>
        <w:t>Ne sont pas comptés dans les nombres maximums les étrangers qui obtiennent une autorisation de séjour dans un cas personnel d'extrême gravité ou en raison de considérations de politique générale (art. 13 let. f OLE).</w:t>
      </w:r>
    </w:p>
    <w:p>
      <w:r>
        <w:rPr>
          <w:b/>
        </w:rPr>
        <w:t>E. 4.2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l'autorité cantonale de police des étrangers dans sa prise de position du 18 avril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l'OCP-GE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3 décembre 2008).</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jurisprudence et doctrine citées).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113).</w:t>
      </w:r>
    </w:p>
    <w:p>
      <w:r>
        <w:rPr>
          <w:b/>
        </w:rPr>
        <w:t>E. 6</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OLE.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ATAF précité consid. 4.3, jurisprudence et doctrine citées).</w:t>
      </w:r>
    </w:p>
    <w:p>
      <w:r>
        <w:rPr>
          <w:b/>
        </w:rPr>
        <w:t>E. 7.1</w:t>
      </w:r>
    </w:p>
    <w:p>
      <w:r>
        <w:t>En l'espèce, il ressort du dossier que A._______ a obtenu un « Business Master Degree » en 1986 à l'université de Birzeit-Ramallah en Palestine. Il est venu à Genève en juillet 1993, à l'âge de 36 ans, pour exercer une activité auprès du Conseil de sécurité des Nations-Unies. Son épouse de nationalité américaine l'a rejoint en Suisse, avec leur fille C._______. Un deuxième enfant est né en Suisse en 1999. Les conditions de séjour de toute la famille étaient alors régularisées par l'octroi d'une carte du DFAE. A._______ a cessé ses fonctions à l'ONU, le 31 décembre 2004, la Commission spéciale pour laquelle il travaillait étant arrivée au terme de son mandat et ayant été dissoute. De ce fait, la carte de légitimation a été retirée aux intéressés et ils ont déposé une demande visant à la régularisation, au sens de l'art. 13 let. f OLE, de leurs conditions de séjour. En l'occurrence, force est de constater que A._______ et sa famille sont financièrement autonomes et que leur comportement n'a jamais donné lieu à des plaintes. Au bénéfice d'une formation académique acquise dans son pays d'origine et en Angleterre, A._______ travaille à Genève pour une société anonyme spécialisée dans les services, qu'il a lui-même constituée avec ses avocats (cf. extrait du registre du commerce des 17 février 2005 et 20 novembre 2007, lettre d'engagement du 22 mars 2005 [dossier cantonal]). Il est également vraisemblable que l'intéressé et son épouse se soient constitué un cercle d'amis et de relations dans ce pays. Quant à leurs enfants, ils paraissent bien adaptés au mode de vie helvétique.</w:t>
      </w:r>
    </w:p>
    <w:p>
      <w:r>
        <w:rPr>
          <w:b/>
        </w:rPr>
        <w:t>E. 7.2</w:t>
      </w:r>
    </w:p>
    <w:p>
      <w:r>
        <w:t>De tels éléments ne suffisent toutefois pas, à eux seuls, à justifier une exception aux mesures de limitation du nombre des étrangers, En effet, il convient de rappeler que A._______ et sa famille ont été mis au bénéfice de pièces de légitimation du DFAE en raison de la fonction exercée par A._______ auprès de l'ONU. Cela étant, les intéressés étaient parfaitement conscients que leur présence et celle de leurs enfants dans ce pays ne revêtait qu'un caractère temporaire et depuis le dépôt de leur demande de régularisation au mois de février 2005, ils demeurent en Suisse au bénéfice d'une simple tolérance cantonale, un statut à caractère provisoire et aléatoire. Or, comme relevé ci-dessus, les séjours sous carte de légitimation du DFAE ne sont en principe pas pris en considération (cf. consid. 6 supra, et la jurisprudence citée), pas plus que les séjours illégaux ou précaires (cf. à ce sujet, ATF 130 II 39 consid. 3 et 5.4 p. 41s. et 46; cf. également arrêts du Tribunal fédéral 2A.45/2007 du 17 avril 2007 consid. 5, et 2A.540/2005 du 11 novembre 2005 consid. 3.2.1). Les recourants ne sauraient par conséquent se prévaloir de la durée de leur séjour en Suisse. Il convient par ailleurs de rappeler que la possibilité offerte à A._______ par les autorités genevoises de police des étrangers de prendre un emploi durant la durée de la procédure relève, elle aussi, d'une pure tolérance cantonale. Cela étant, il y a lieu d'examiner si des critères d'évaluation autres que la seule durée du séjour en Suisse seraient de nature à faire admettre qu'un départ de Suisse placerait A._______ et sa famille dans une situation excessivement rigoureuse.</w:t>
      </w:r>
    </w:p>
    <w:p>
      <w:r>
        <w:rPr>
          <w:b/>
        </w:rPr>
        <w:t>E. 7.3</w:t>
      </w:r>
    </w:p>
    <w:p>
      <w:r>
        <w:t>Si le recourant a certes entamé une procédure de naturalisation suisse le 15 juillet 2005, pour lui-même et sa famille, cet élément ne saurait toutefois être retenu dans le cadre de la présente procédure. Il ressort en effet du dossier que lorsqu'ils ont déposé leur demande de naturalisation, le recourant et sa famille avaient déjà restitué leurs cartes de légitimation du DFAE et ne disposaient plus d'aucun titre de séjour valable à Genève. Ils ne remplissaient donc pas les conditions de la loi sur la nationalité genevoise du 13 mars 1992 (LNat; A 4 05) et du règlement d'application du 15 juillet 1992 de la loi sur la nationalité genevoise (RNat; A 4 05.01). En effet, sur la base de l'art. 11 al. 2 lettre c dudit règlement, la procédure est engagée si le candidat est au bénéfice d'un titre de séjour ou d'établissement valable pendant toute la durée de la procédure. A._______ ne peut donc pas invoquer le dépôt d'une demande de naturalisation en cours pour obtenir une autorisation de séjour alors qu'il aurait déjà dû avoir quitté le pays avec sa famille au moment du dépôt de sa demande (cf. arrêt du Tribunal fédéral 2A.317/2006 du 16 août 2006 consid. 4.3). Au demeurant, la procédure de naturalisation cantonale de la famille Amous a été suspendue le 16 novembre 2007.</w:t>
      </w:r>
    </w:p>
    <w:p>
      <w:r>
        <w:rPr>
          <w:b/>
        </w:rPr>
        <w:t>E. 7.4</w:t>
      </w:r>
    </w:p>
    <w:p>
      <w:r>
        <w:t>L'argument principal de A._______ consiste à se prévaloir du fait qu'il est d'origine palestinienne et que son épouse et ses deux enfants sont américains. Ainsi, le prénommé affirme qu'il ne peut pas aller vivre avec sa femme et ses enfants en Palestine, en raison de la nationalité des membres de sa famille et que lui-même, bien qu'étant titulaire d'un passeport jordanien n'étant en fait qu'un document de voyage, n'est pas inscrit comme ressortissant jordanien dans les registres de ce pays et n'y disposerait donc ni du droit de vote, ni du droit d'y résider. Enfin, l'intéressé affirme également qu'en tant que ressortissant palestinien, il ne sera jamais autorisé à résider sur sol américain, quand bien même le reste de sa famille le pourrait, et qu'ainsi, la Suisse serait le seul pays où il pourrait résider avec sa famille. Ces allégations ne résistent toutefois pas à l'analyse. En réponse à la demande du DFJP du 22 novembre 2005 lui demandant en particulier de rapporter la preuve de son affirmation selon laquelle il ne pourrait pas immigrer aux Etats-Unis avec son épouse et ses enfants, A._______ a non seulement répondu qu'il n'avait entrepris jusqu'alors aucune démarche pour immigrer dans ce pays, son désir étant de demeurer avec sa famille à Genève où il travaillait (cf. courrier du 12 janvier 2006), mais il a encore produit un avis, établi par une avocate américaine le 12 janvier 2006, selon lequel il pourrait en principe être autorisé à résider aux Etats-Unis avec sa famille, la procédure pouvant toutefois durer de un à deux ans. Sur la base des documents et pièces figurant au dossier, le Tribunal ne saurait exclure, comme le fait le recourant, la possibilité pour l'intéressé de s'établir aux Etats-Unis avec sa famille. En effet, le droit au regroupement familial est un droit fondamental, auquel la simple origine palestinienne de A._______ ne devrait en principe pas faire obstacle. Au surplus, au vu des fonctions exercées par l'intéressé auprès de l'ONU, en particulier comme membre d'une commission spéciale créée pour réparer les dommages causés par la guerre du Golfe au Koweït, la personnalité de l'intéressé ne saurait être considérée comme suspecte. Il y a également lieu de souligner que A._______ a obtenu en l'an 2000 son doctorat en sciences sociales en Angleterre, ce qui démontre sa faculté d'adaptation au monde anglo-saxon. Cela étant, dans la mesure où c'est en priorité une installation aux Etats-Unis de toute la famille qui entre en ligne de compte, il apparaît superflu d'examiner l'installation de celle-ci en Jordanie ou en Palestine. Dans ce même ordre d'idée, il apparaît également superfétatoire d'examiner le cas sous l'angle de l'art. 8 de la convention du 4 novembre 1950 de sauvegarde des droits de l'homme et des libertés fondamentales (CEDH, RS 0.101) puisque le refus de délivrer une exception aux mesures de limitation à A._______ n'aboutit pas nécessairement à la séparation de sa famille. C'est donc bien par pure convenance personnelle que A._______ sollicite une exception aux mesures de limitation pour pouvoir demeurer en Suisse avec sa famille et non par réelle impossibilité de s'installer aux Etats-Unis avec celle-ci.</w:t>
      </w:r>
    </w:p>
    <w:p>
      <w:r>
        <w:rPr>
          <w:b/>
        </w:rPr>
        <w:t>E. 7.5</w:t>
      </w:r>
    </w:p>
    <w:p>
      <w:r>
        <w:t>S'agissant de l'intégration socio-professionnelle, le Tribunal constate que A._______ et son épouse disposent tous deux d'une formation universitaire acquise à l'étranger et que le recourant est venu en Suisse pour y travailler dans une organisation internationale. Cela étant, le Tribunal rappelle que les relations de travail, d'amitié ou de voisinage que les intéressés ont pu nouer pendant leur séjour en Suisse ne sauraient justifier en soi une exception aux mesures de limitation (cf. consid. 6 supra, et jurisprudence citée). Dans ces circonstances, le Tribunal considère que l'intégration des intéressés ne se démarque pas de celle que l'on peut attendre de ressortissants étrangers bénéficiant de conditions similaires. En plus, vu les formations et l'expérience acquises, ils devraient pouvoir s'insérer sans trop de difficultés sur le marché du travail américain.</w:t>
      </w:r>
    </w:p>
    <w:p>
      <w:r>
        <w:rPr>
          <w:b/>
        </w:rPr>
        <w:t>E. 7.6</w:t>
      </w:r>
    </w:p>
    <w:p>
      <w:r>
        <w:t>S'agissant des enfants du recourant, le Tribunal ne conteste pas que leur intégration en Suisse peut être qualifiée de bonne; elle ne revêt cependant pas un caractère exceptionnel, au regard de la durée de leur séjour dans ce pays et compte tenu de l'environnement familial dans lequel ils ont grandi, sachant que leurs parents (tous deux au bénéfice d'une formation académique) étaient aptes à leur apporter le soutien requis pour la réussite de leur scolarité. Le Tribunal est conscient qu'un départ des intéressés de Suisse s'accompagnera de désagréments. Ceci vaut en particulier pour l'aînée, âgée de quatorze ans et dix mois. C._______ a cependant été scolarisée à Genève à l'Ecole internationale, où elle reçoit un enseignement bilingue en anglais et en français qui devrait lui permettre de s'intégrer sans trop de difficultés dans son pays d'origine. Enfin, en tant que ressortissants américains, la prénommée et son frère devraient facilement pouvoir poursuivre une scolarité de bon niveau dans leur pays.</w:t>
      </w:r>
    </w:p>
    <w:p>
      <w:r>
        <w:rPr>
          <w:b/>
        </w:rPr>
        <w:t>E. 7.7</w:t>
      </w:r>
    </w:p>
    <w:p>
      <w:r>
        <w:t>Dans ces conditions, après une appréciation de l'ensemble des circonstances propres au cas particulier, le Tribunal, à l'instar de l'autorité de première instance, arrive à la conclusion que la situation de A._______ et de sa famille ne revêt pas un caractère si extraordinaire - par rapport à celle d'autres familles titulaires de cartes de légitimation du DFAE qui n'ont pas été renouvelées - qu'elle justifierait une exception aux mesures de limitation du nombre des étrangers au sens de l'art. 13 let. f OLE, au regard de la législation et de la pratique restrictives en la matière (cf. consid. 6 supra, et la jurisprudence citée). Etant donné l'issue de la procédure, la requête de suspension de l'instruction de la cause du 12 janvier 2006, devient sans objet.</w:t>
      </w:r>
    </w:p>
    <w:p>
      <w:r>
        <w:rPr>
          <w:b/>
        </w:rPr>
        <w:t>E. 8</w:t>
      </w:r>
    </w:p>
    <w:p>
      <w:r>
        <w:t>Il ressort de ce qui précède que, par sa décision du 17 juin 2005, l'ODM n'a ni violé le droit fédéral, ni constaté des faits pertinents de manière inexacte ou incomplète ; en outre, la décision attaquée n'est pas inopportune (cf. art. 49 PA). En conséquence, le recours est rejeté dans la mesure où il est recevable. Vu l'issue de la cause, il y a lieu de mettre les frais de procédure à la charge du recourant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