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C-2618/2006 vom 13. Mai 2008</w:t>
      </w:r>
    </w:p>
    <w:p>
      <w:r>
        <w:t>Bundesverwaltungsgericht, 2008-05-13, DE</w:t>
      </w:r>
    </w:p>
    <w:p>
      <w:r>
        <w:rPr>
          <w:b/>
        </w:rPr>
        <w:t xml:space="preserve">Quelle: </w:t>
      </w:r>
      <w:r>
        <w:t>https://mcp.opencaselaw.ch/entscheid/bvger_C-2618_2006</w:t>
      </w:r>
    </w:p>
    <w:p>
      <w:r>
        <w:t>FR: TAF C-2618/2006 du 13 mai 2008</w:t>
      </w:r>
    </w:p>
    <w:p>
      <w:r>
        <w:t>IT: TAF C-2618/2006 del 13 maggio 2008</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1.4</w:t>
      </w:r>
    </w:p>
    <w:p>
      <w:r>
        <w:t>Die Beschwerdeführerin ist durch die angefochtenen Einspracheverfügung im Sinne von Art. 59 ATSG beschwerdelegitimiert.</w:t>
      </w:r>
    </w:p>
    <w:p>
      <w:r>
        <w:rPr>
          <w:b/>
        </w:rPr>
        <w:t>E. 1.5</w:t>
      </w:r>
    </w:p>
    <w:p>
      <w:r>
        <w:t>Da die Beschwerde im Übrigen frist- und formgerecht (Art. 60 ATSG und Art. 52 VwVG) eingereicht wurde, ist auf die Beschwerde einzutreten.</w:t>
      </w:r>
    </w:p>
    <w:p>
      <w:r>
        <w:rPr>
          <w:b/>
        </w:rPr>
        <w:t>E. 2</w:t>
      </w:r>
    </w:p>
    <w:p>
      <w:r>
        <w:t>Vorliegend verlangt die Beschwerdeführerin mit ihrer Beschwerde vom 23. Januar 2006 eine Erhöhung der ihr mit Einspracheverfügung vom 20. Dezember 2005 revisionsweise weitergewährten Dreiviertelsrente.</w:t>
      </w:r>
    </w:p>
    <w:p>
      <w:r>
        <w:rPr>
          <w:b/>
        </w:rPr>
        <w:t>E. 2.1</w:t>
      </w:r>
    </w:p>
    <w:p>
      <w:r>
        <w:t>In zeitlicher Hinsicht sind grundsätzlich diejenigen Rechtssätze massgebend, die bei der Erfüllung des zu Rechtsfolgen führenden Tatbestandes Geltung hatten (BGE 130 V 329). Für das vorliegende Verfahrens ist deshalb das per 1. Januar 2003 in Kraft getretene ATSG anwendbar. Bei den materiellen Bestimmungen des IVG und des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2.2</w:t>
      </w:r>
    </w:p>
    <w:p>
      <w:r>
        <w:t>Gemäss Art. 28 Abs. 1 IVG haben Versicherte bei einem Invaliditätsgrad von mindestens 70 Prozent Anspruch auf eine ganze Rente, bei mindestens 60 Prozent auf eine Dreiviertelsrente, bei mindestens 50 Prozent auf eine halbe Rente und auf eine Viertelsrente, wenn sie mindestens zu 40 Prozent invalid sind.</w:t>
      </w:r>
    </w:p>
    <w:p>
      <w:r>
        <w:rPr>
          <w:b/>
        </w:rPr>
        <w:t>E. 2.3</w:t>
      </w:r>
    </w:p>
    <w:p>
      <w:r>
        <w:t>Nach Art. 17 Abs. 1 ATSG wird eine Rente auf Gesuch hin für die Zukunft entsprechend erhöht, herabgesetzt oder aufgehoben, wenn sich der Invaliditätsgrad des Rentenbezügers erheblich verändert. Nach der Rechtsprechung des Bundesgerichts ist die Invalidenrente nicht nur bei einer wesentlichen Veränderung des Gesundheitszustandes, sondern auch dann revidierbar, wenn sich die erwerblichen Auswirkungen des an sich gleich gebliebenen Gesundheitszustands erheblich verändert haben.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3.1</w:t>
      </w:r>
    </w:p>
    <w:p>
      <w:r>
        <w:t>Zeitlicher Referenzpunkt für die Prüfung einer anspruchserheblichen Änderung bildet gemäss der Rechtsprechung die letzte (der versicherten Person eröffnete) rechtskräftige Verfügung, welche auf einer materiellen Prüfung des Rentenanspruchs mit rechtskonformer Sachverhaltsabklärung, Beweiswürdigung und Durchführung eines Einkommensvergleichs (sofern dies durch die Methode der Invaliditätsbestimmung indiziert wird und Anhaltspunkte für eine Änderung in den erwerblichen Auswirkungen des Gesundheitszustands bestehen) beruht (BGE 133 V 108, mit Hinweisen). Als Ausgangspunkt für eine allfällige rentenrelevante Veränderung des Gesundheitszustands ist somit vorliegend auf die Verfügung vom 7. April 2003 abzustellen, da die spätere Verfügung vom 2. Juli 2004 nicht auf einer materiellen Prüfung beruht, sondern lediglich aufgrund der am 1. Januar 2004 geänderten Rechtslage erlassen wurde.</w:t>
      </w:r>
    </w:p>
    <w:p>
      <w:r>
        <w:rPr>
          <w:b/>
        </w:rPr>
        <w:t>E. 3.2</w:t>
      </w:r>
    </w:p>
    <w:p>
      <w:r>
        <w:t>Auf das von der Beschwerdeführerin am 12. November 2004 gestellte Gesuch um Revision der ihr zugesprochenen Invalidenrente ist die IV-Stelle mit Verfügung vom 17. Februar 2005 eingetreten. Das Verfahren mündete schliesslich in die vorliegend angefochtene Einspracheverfügung vom 20. Dezember 2005. Da das Sozialversicherungsgericht bei der Beurteilung eines Falles grundsätzlich auf den im Zeitpunkt des Erlasses des angefochtenen Verwaltungsaktes eingetretenen Sachverhalt abstellt (BGE 129 V E. 1.2 mit Hinweisen), sind eventuelle nach dem 20. Dezember 2005 eingetretene Sachverhaltsänderungen vorliegend nicht zu berücksichtigen (BGE 121 V 366 E. 1b).</w:t>
      </w:r>
    </w:p>
    <w:p>
      <w:r>
        <w:rPr>
          <w:b/>
        </w:rPr>
        <w:t>E. 3.3</w:t>
      </w:r>
    </w:p>
    <w:p>
      <w:r>
        <w:t>Im Ergebnis ist folglich vom Bundesverwaltungsgericht zu prüfen, ob sich der gesundheitliche Zustand der Beschwerdeführerin zwischen dem Zeitpunkt des Erlasses der Verfügung vom 7. April 2003 und der hier streitigen Einspracheverfügung vom 20. Dezember 2005 in rentenrelevanter Weise verändert hat.</w:t>
      </w:r>
    </w:p>
    <w:p>
      <w:r>
        <w:rPr>
          <w:b/>
        </w:rPr>
        <w:t>E. 4</w:t>
      </w:r>
    </w:p>
    <w:p>
      <w:r>
        <w:t>Gemäss Art. 87 Abs. 3 IVV ist vom Versicherten im Revisionsgesuch glaubhaft zu machen, dass sich der Grad der Invalidität in einer für den Anspruch erheblichen Weise geändert hat. Tritt die Verwaltung auf das Gesuch ein, so hat sie die Sache materiell abzuklären und sich zu vergewissern, ob die vom Versicherten glaubhaft gemachte Veränderung des Invaliditätsgrades auch tatsächlich eingetreten ist. Der Untersuchungsgrundsatz verlangt dabei, dass die IV-Stelle Abklärungen vorzunehmen oder zu veranlassen hat, wenn hierzu aufgrund der Parteivorbringen oder anderer sich aus den Akten ergebender Anhaltspunkte hinreichender Anlass besteht (BGE 117 V 282 E. 4).</w:t>
      </w:r>
    </w:p>
    <w:p>
      <w:r>
        <w:rPr>
          <w:b/>
        </w:rPr>
        <w:t>E. 4.1</w:t>
      </w:r>
    </w:p>
    <w:p>
      <w:r>
        <w:t>Vorliegend ist die IV-Stelle auf das Gesuch der Beschwerdeführerin um Revision der Invalidenrente eingetreten. Eine rentenrelevante Veränderung ihres Gesundheitszustands erscheint denn auch dem Bundesverwaltungsgericht aufgrund der Aktenlage ohne weiteres als glaubhaft: So musste sich doch die Beschwerdeführerin am 7. April 2003 einer Totalendoprothese am rechten Knie unterziehen, deren Heilverlauf in die gleichentags erlassene rentenzusprechende Verfügung der IV-Stelle nicht einbezogen werden konnte (vgl. hierzu die in Erw. E zitierten Berichte von Dr. med. T._______ betreffend die Operation und den postoperativen Verlauf). Der Orthopäde Dr. med. W._______ äusserte in seinem Bericht vom 17. März 2005 einen Verdacht auf eine TEP-Lockerung und hielt fest, dass seit der Operation eine erhebliche Verschlechterung des Gesundheitszustandes eingetreten sei. Auch Dr. med. P._______ diagnostizierte in seinem radiologischen Bericht vom 15. Oktober 2004 (nicht sehr ausgeprägte) Lockerungszeichen im rechten Knie und eine zunehmende Aktivität der im linken Kniegelenk gelegenen Gonarthrose mit gonarthritischer Begleitkomponente. Aufgrund der aktenkundigen Unterlagen bestehen somit Anhaltspunkte, dass sich der Gesundheitszustand der Beschwerdeführerin im relevanten Zeitraum rentenrelevant verändert haben könnte.</w:t>
      </w:r>
    </w:p>
    <w:p>
      <w:r>
        <w:rPr>
          <w:b/>
        </w:rPr>
        <w:t>E. 4.2</w:t>
      </w:r>
    </w:p>
    <w:p>
      <w:r>
        <w:t>Die oben erwähnte ärztliche Dokumentation erlaubt jedoch nicht, einen solchen Schluss mit der erforderlichen überwiegenden Wahrscheinlichkeit anzunehmen: So äussern sich die Berichte (aufgrund ihrer Zweckbestimmung) namentlich nicht darüber, welche Funktionen wie eingeschränkt sind, und sie enthalten auch keine konkreten Aussagen über die verbliebene, aus medizinischer Sicht zumutbare Betätigungsmöglichkeit (hierzu: Gabriela Riemer-Kafka [Hrsg.], Versicherungsmedizinische Gutachten, Bern 2007, S. 19). Für die beweiskräftige Verwendung im schweizerischen Invalidenrentenverfahren erweisen sie sich deshalb als unvollständig.</w:t>
      </w:r>
    </w:p>
    <w:p>
      <w:r>
        <w:rPr>
          <w:b/>
        </w:rPr>
        <w:t>E. 4.3</w:t>
      </w:r>
    </w:p>
    <w:p>
      <w:r>
        <w:t>Dr. med. I._______, die den Fall einzig aufgrund der Akten beurteilen konnte, attestierte der Beschwerdeführerin in ihren Stellungnahmen vom 14. Februar 2005 und vom 15. Dezember 2005 zu Handen der IV-Stelle für leichte Tätigkeiten eine Arbeitsunfähigkeit von 70%, für die Tätigkeit im Haushalt eine Einschränkung von 60 respektive (in ihrer zweiten Stellungnahme) von 63%. Sie zog damit aus der medizinischen Dokumentation, die sich zur Frage der Arbeitsunfähigkeit nicht äussert, selbständig einen Schluss. Ausschliesslich aufgrund der ihr zur Verfügung gestellten Akten lässt sich allerdings ein solcher Schluss nach Ansicht des Bundesverwaltungsgerichts nicht mit dem erforderlichen Beweisgrad der überwiegenden Wahrscheinlichkeit ziehen. Entsprechend besteht die Funktion dieser IV-ärztlichen Stellungnahmen im Sinne von Art. 49 Abs. 3 IVV auch im Wesentlichen (lediglich) darin, den medizinischen Sachverhalt zusammenzufassen und zu würdigen (siehe hierzu Urteil des Bundesgerichts, 9C_561/2007 vom 11. März 2008, E. 5.2.2).</w:t>
      </w:r>
    </w:p>
    <w:p>
      <w:r>
        <w:rPr>
          <w:b/>
        </w:rPr>
        <w:t>E. 4.4</w:t>
      </w:r>
    </w:p>
    <w:p>
      <w:r>
        <w:t>Nach dem Gesagten bestehen aufgrund der aktenkundigen Unterlagen Anhaltspunkte, dass sich der Gesundheitszustand der Beschwerdeführerin im fraglichen Zeitraum vom 7. April 2003 bis zum 20. Dezember 2005 rentenrelevant verändert haben könnte. Es lässt sich allerdings der medizinischen Dokumentation nicht mit dem erforderlichen Beweisgrad der überwiegenden Wahrscheinlichkeit entnehmen, ob und allenfalls inwiefern genau sich die Arbeitsfähigkeit der Beschwerdeführerin als Bürokauffrau und im Aufgabenbereich in diesem Zeitraum (rentenrelevant) verändert hat. Eine orthopädische Begutachtung der Beschwerdeführerin erweist sich deshalb für die Beurteilung des streitigen Umfangs des Rentenanspruchs als unabdingbar.</w:t>
      </w:r>
    </w:p>
    <w:p>
      <w:r>
        <w:rPr>
          <w:b/>
        </w:rPr>
        <w:t>E. 4.5</w:t>
      </w:r>
    </w:p>
    <w:p>
      <w:r>
        <w:t>Nach der höchstrichterlichen Rechtsprechung hat das Gericht, das den Sachverhalt als ungenügend abgeklärt erachtet, im Prinzip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oder andere gerichtliche Beweismassnahmen geeignet wären, zur Abklärung des Sachverhaltes beizutragen), oder wenn die Rückweisung nach den Umständen als unverhältnismässig bezeichnet werden müsste (BGE 122 V 163 E. 1d; RKUV 1989 K 809 S. 207 E. 4). Vorliegend sind keine Gründe ersichtlich, die der Rückweisung der Sache zur weiteren Abklärung an die IV-Stelle entgegenstehen würden.</w:t>
      </w:r>
    </w:p>
    <w:p>
      <w:r>
        <w:rPr>
          <w:b/>
        </w:rPr>
        <w:t>E. 5</w:t>
      </w:r>
    </w:p>
    <w:p>
      <w:r>
        <w:t>Die Beschwerde ist somit insofern teilweise gutzuheissen, als die angefochtene Einspracheverfügung vom 20. Dezember 2005 aufgehoben und die Sache zur weiteren Abklärung des rechtserheblichen Sachverhalts, namentlich zur Einholung eines orthopädischen Gutachtens, das sich über den Gesundheitszustand und über dessen Auswirkung auf die Arbeitsfähigkeit in der Erwerbstätigkeit als Bürokauffrau und im Aufgabenbereich ausspricht, an die IV-Stelle zurückgewiesen wird, welche anschliessend eine neue Verfügung zu erlassen hat.</w:t>
      </w:r>
    </w:p>
    <w:p>
      <w:r>
        <w:rPr>
          <w:b/>
        </w:rPr>
        <w:t>E. 6.1</w:t>
      </w:r>
    </w:p>
    <w:p>
      <w:r>
        <w:t>Es werden keine Verfahrenskosten erhoben.</w:t>
      </w:r>
    </w:p>
    <w:p>
      <w:r>
        <w:rPr>
          <w:b/>
        </w:rPr>
        <w:t>E. 6.2</w:t>
      </w:r>
    </w:p>
    <w:p>
      <w:r>
        <w:t>Die anwaltlich vertretene Beschwerdeführerin hat gemäss Art. 64 Abs. 1 VwVG in Verbindung mit Art. 7 ff. des Reglements über die Kosten und Entschädigungen vor dem Bundesverwaltungsgericht vom 11. Dezember 2006 (VGKE, SR 173.320.2) Anspruch auf eine Parteientschädigung zu Lasten der Vorinstanz. Diese wird auf Fr.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