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C-2615/2014 vom 30. Januar 2017</w:t>
      </w:r>
    </w:p>
    <w:p>
      <w:r>
        <w:t>Bundesverwaltungsgericht, 2017-01-30, DE</w:t>
      </w:r>
    </w:p>
    <w:p>
      <w:r>
        <w:rPr>
          <w:b/>
        </w:rPr>
        <w:t xml:space="preserve">Quelle: </w:t>
      </w:r>
      <w:r>
        <w:t>https://mcp.opencaselaw.ch/entscheid/bvger_C-2615_2014</w:t>
      </w:r>
    </w:p>
    <w:p>
      <w:r>
        <w:t>FR: TAF C-2615/2014 du 30 janvier 2017</w:t>
      </w:r>
    </w:p>
    <w:p>
      <w:r>
        <w:t>IT: TAF C-2615/2014 del 30 gennaio 2017</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 wurde frist- und formgerecht eingereicht (vgl. Art. 38 ff. und Art. 60 ATSG, Art. 52 VwVG). Als Adressat des Einspracheentscheides vom 31. März 2014 (B-act. 1 Beilage 6) ist der Beschwerdeführer berührt und hat ein schutzwürdiges Interesse an dessen Aufhebung oder Abänderung (Art. 59 ATSG, Art. 48 Abs. 1 VwVG). Nachdem auch der Kostenvorschuss fristgerecht geleistet worden ist, sind sämtliche Prozessvoraussetzungen erfüllt, weshalb auf die Beschwerde vom 13. Mai 2014 einzutreten ist.</w:t>
      </w:r>
    </w:p>
    <w:p>
      <w:r>
        <w:rPr>
          <w:b/>
        </w:rPr>
        <w:t>E. 1.4.1</w:t>
      </w:r>
    </w:p>
    <w:p>
      <w:r>
        <w:t>Anfechtungsobjekt bildet der Einspracheentscheid der Suva vom 31. März 2014. Mit Blick auf die beschwerdeweise gestellten und replican-do bestätigten materiellen Rechtsbegehren ist streitig und zu prüfen, ob die Suva die Nettoprämien BUV bzw. NBUV per 2014 zu Recht auf 0.1887 (Stufe 47) bzw. 0.6710 (Stufe 73) erhöht hat, oder ob diese in der Höhe der Nettoprämien per 2013, d.h. auf 0.1711 (Stufe 45) bzw. 0.6090 (Stufe 71), zu belassen sind, wie dies der Beschwerdeführer beantragt. In diesem Zusammenhang nicht streitig ist die Einreihung in der BUV in der Klasse 40M im Unterklassenteil CO resp. in der NBUV in der Klasse 40M.</w:t>
      </w:r>
    </w:p>
    <w:p>
      <w:r>
        <w:rPr>
          <w:b/>
        </w:rPr>
        <w:t>E. 1.4.2</w:t>
      </w:r>
    </w:p>
    <w:p>
      <w:r>
        <w:t>In formeller Hinsicht beantragte der Beschwerdeführer in seiner Beschwerde vom 13. Mai 2014, das BAG sei aufzufordern, allfällige Untersuchungen zur Prämientarifierung der Suva für ihre Offerte im Submissionsverfahren 2011 einzureichen (inkl. Korrespondenz mit der Suva; Ziffer 1). Weiter sei die Suva zu verpflichten, die Berechnung ihrer Offerte im Submissionsverfahren 2011 offenzulegen, namentlich den angewandten Nettobedarfssatz (Ziffer 2), und es sei eine versicherungsmathematische Expertise zur Frage durchzuführen, ob im Lichte der vorgenannten Tarifierung die Erhöhung der Prämie per 2014 korrekt erscheine (Ziffer 3). Nachdem diesen Anträgen im Rahmen des Instruktionsverfahrens zumindest teilweise nachgekommen wurde, hielt der Beschwerdeführer replicando nurmehr am Antrag fest, es sei eine versicherungsmathematische Expertise zur Frage durchzuführen, ob im Lichte der vorgenannten Tarifierung die Erhöhung der Prämie per 2014 korrekt sei.</w:t>
      </w:r>
    </w:p>
    <w:p>
      <w:r>
        <w:rPr>
          <w:b/>
        </w:rPr>
        <w:t>E. 1.4.3</w:t>
      </w:r>
    </w:p>
    <w:p>
      <w:r>
        <w:t>Der Beschwerdeführer rügte im Wesentlichen, die Prämienerhöhung durch die Vorinstanz sei formell ungenügend begründet und materiell im Widerspruch zum UVG, widersprüchlich und willkürlich. Die Vorinstanz habe die angefochtene Verfügung nicht in nachvollziehbarer Weise begründet. Entgegen ihren Zusicherungen lasse sich die Prämienerhöhung per 2014 um 10 % nicht mit dem Schadenverlauf erklären, was überdies ein widersprüchliches Verhalten bedeute. Soweit die Vorinstanz die Prämienfestsetzung mit Prämienüberschüssen aus den Vorjahren in Verbindung bringe, werde der Umfang der Überschüsse weder quantifiziert noch belegt, noch werde dargelegt, wie der erfolgte Abbau der Überschüsse die verfügte Prämienerhöhung 2014 rechtfertige. Weiter rügt der Beschwerdeführer einen Verstoss gegen das Legalitätsprinzip durch die von der Vor-instanz praktizierte Erfahrungstarifierung. Es sei unklar, ob die Vorinstanz nach ihrer eigenen Auffassung die Prämie noch deutlich stärker erhöhen könnte und worauf sich ihre "Unverhältnismässigkeitsprüfung" stütze. Die Vorinstanz scheine davon auszugehen, dass ihr dieses Modell Bandbreiten von bis dato 30% eröffne, wobei ein Ende der Prämienerhöhungen nicht in Sicht sei. Für dieses Vorgehen fehle eine gesetzliche Grundlage.</w:t>
      </w:r>
    </w:p>
    <w:p>
      <w:r>
        <w:rPr>
          <w:b/>
        </w:rPr>
        <w:t>E. 1.5.1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1.5.2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1.5.3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1.5.4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1.5.5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Zunächst sind die bei der Prämientarifgestaltung und der Einreihung der Betriebe in diesen Tarif zu beachtenden wichtigsten gesetzlichen Bestimmungen und massgebenden Grundsätze wiederzugeben.</w:t>
      </w:r>
    </w:p>
    <w:p>
      <w:r>
        <w:rPr>
          <w:b/>
        </w:rPr>
        <w:t>E. 2.1</w:t>
      </w:r>
    </w:p>
    <w:p>
      <w:r>
        <w:t>Für die Durchführung der Unfallversicherung sind einheitliche Rechnungsgrundlagen zu verwenden. Der Bundesrat erlässt Richtlinien (Art. 89 Abs. 1 UVG).</w:t>
      </w:r>
    </w:p>
    <w:p>
      <w:r>
        <w:rPr>
          <w:b/>
        </w:rPr>
        <w:t>E. 2.2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2.3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2.4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2.5</w:t>
      </w:r>
    </w:p>
    <w:p>
      <w:r>
        <w:t>Als Risikoeinheit gelten Betriebe, Betriebsteile und Prämienkonzerne (Art. 7 Abs. 1 des ab 1. Januar 2013 gültigen, vorliegend anwendbaren Prämientarifs der Suva, [Reglement des Verwaltungsrats der Suva vom 14. November 2008 betreffend die Einreihungsregeln zur Prämienbemessung in der obligatorischen Unfallversicherung {im Folgenden: Prämien-tarif}]).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Prämientarif).</w:t>
      </w:r>
    </w:p>
    <w:p>
      <w:r>
        <w:rPr>
          <w:b/>
        </w:rPr>
        <w:t>E. 2.6</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aus der Lohnsumme der Risikoeinheit innerhalb der letzten sechs Jahre und dem Basissatz im Bemessungsjahr (Art. 20 Prämientarif). Gemäss Art. 22 Abs. 1 Prämientarif berechnet sich der Nettoprämiensatz bei einer durchschnittlichen Basisprämie zwischen Fr. 5'000.- und Fr. 300'000.- pro Jahr nach dem Bonus-Malus-System 03 (im Folgenden: BMS 03). Sinkt die Basisprämie einer nach dem BMS 03 eingereihten Risikoeinheit unter 80 % der unteren Grenze, wird sie zum Basissatz eingereiht. Ab einer durchschnittlichen Basisprämie von Fr. 300'000.- pro Jahr je Versicherungszweig (BUV/NBUV) gelangt sowohl in der Berufsunfallversicherung als auch in der Nichtberufsunfallversicherung die ET 03 zur Anwendung (Art. 23 Abs. 1 Prämientarif). Gelangt auf eine Risikoeinheit in einem Versicherungszweig (BUV/NBUV) die ET 03 zur Anwendung, wird im andern Versicherungszweig ab einer durchschnittlichen Basisprämie von Fr. 100'000.- pro Jahr ebenfalls die ET 03 angewendet (Abs. 2).</w:t>
      </w:r>
    </w:p>
    <w:p>
      <w:r>
        <w:rPr>
          <w:b/>
        </w:rPr>
        <w:t>E. 2.7</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2.8</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2.9</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w:t>
      </w:r>
    </w:p>
    <w:p>
      <w:r>
        <w:t>Betreffend das von der Suva zur Anwendung gebrachte Prämienmodell ET 03 ist vorab Folgendes festzuhalten:</w:t>
      </w:r>
    </w:p>
    <w:p>
      <w:r>
        <w:rPr>
          <w:b/>
        </w:rPr>
        <w:t>E. 3.1</w:t>
      </w:r>
    </w:p>
    <w:p>
      <w:r>
        <w:t>Bei der Prämienkalkulation von Grossbetrieben können die eigenen Versicherungsergebnisse in grösserem Umfang berücksichtigt werden als bei kleinen Unternehmen. Gleichzeitig besteht oft der Wunsch, der individuellen Situation im Betrieb besser Rechnung tragen zu können, als dies mit einem herkömmlichen Bonus-Malus-System (BMS) möglich ist. Mit dem Prämienmodell ET 03 kommt die Suva diesem Bedürfnis entgegen. Das Prämienmodell ET 03 findet bei Betrieben Anwendung, welche in der BUV oder in der NBUV eine durchschnittliche Basisprämie von mindestens Fr. 300'000.- pro Jahr erreichen. Die Basisprämie berechnet sich aus der Lohnsumme der letzten sechs Jahre und dem Basisprämiensatz der Branche. Das Prämienmodell ET 03 ermöglicht eine individuelle und umfassende Prämienkalkulation. Zentrale Punkte dabei sind die Betrachtung der Versicherungsergebnisse der letzten 15 Unfalljahre sowie die Extrapolation des Risikosatzes in die nahe Zukunft. Berücksichtigt werden die eigenen Versicherungsergebnisse und teilweise auch jene der Branche. Eine Amortisationskomponente widerspiegelt das Prinzip der nicht gewinnorientierten Versicherung. Dabei wird ein möglicher Überschuss oder Fehlbetrag, der aus der Differenz von Prämien und Aufwand in der Vergangenheit resultiert, angemessen im aktuellen Prämiensatz berücksichtigt (vgl. das Merkblatt "Erfahrungstarifierung für Grossbetriebe der Berufs- und Nichtberufsunfallversicherung" der Suva [Ausgabe Juni 2014]; abrufbar unter https://extra.suva.ch/webshop/53/53FAD89AFD8349C0E10080000A630358.pdf).</w:t>
      </w:r>
    </w:p>
    <w:p>
      <w:r>
        <w:rPr>
          <w:b/>
        </w:rPr>
        <w:t>E. 3.2</w:t>
      </w:r>
    </w:p>
    <w:p>
      <w:r>
        <w:t>Mit Blick auf die Äusserungen des Beschwerdeführers im Zusammenhang mit dem Prämienmodell ET 03 ist festzuhalten, dass dieser nicht die Anwendbarkeit dieses Prämienmodells resp. dessen gesetzliche Grundlage als solche rügt, sondern die fehlende Nachvollziehbarkeit und Rechtmässigkeit der konkreten Umsetzung resp. der Tarifbestimmung durch die Vorinstanz.</w:t>
      </w:r>
    </w:p>
    <w:p>
      <w:r>
        <w:rPr>
          <w:b/>
        </w:rPr>
        <w:t>E. 4</w:t>
      </w:r>
    </w:p>
    <w:p>
      <w:r>
        <w:t>Der Beschwerdeführer rügt eine Verletzung der Begründungspflicht als Teilgehalt des rechtlichen Gehörs, da die Vorinstanz eine Prämienerhöhung der BUV und der NBUV verfügt habe, ohne diese in nachvollziehbarer Weise zu begründen. Nachfolgend ist zu prüfen, ob die Vorinstanz dieses Grundrecht verletzt hat.</w:t>
      </w:r>
    </w:p>
    <w:p>
      <w:r>
        <w:rPr>
          <w:b/>
        </w:rPr>
        <w:t>E. 4.1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 Dies hat umso mehr zu gelten, wenn der Betroffene - wie vorliegend - mehrfach eine nachvollziehbare Begründung verlangt hat und er den Unfallversicherer nicht frei wechseln kann und darf.</w:t>
      </w:r>
    </w:p>
    <w:p>
      <w:r>
        <w:rPr>
          <w:b/>
        </w:rPr>
        <w:t>E. 4.2</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5</w:t>
      </w:r>
    </w:p>
    <w:p>
      <w:r>
        <w:t>Der Beschwerdeführer macht geltend, es sei im Hinblick auf den Schadensverlauf nicht nachvollziehbar, wie die Vorinstanz die Prämie für das Jahr 2014 ermittelt habe, was nachfolgend zu prüfen ist.</w:t>
      </w:r>
    </w:p>
    <w:p>
      <w:r>
        <w:rPr>
          <w:b/>
        </w:rPr>
        <w:t>E. 5.1</w:t>
      </w:r>
    </w:p>
    <w:p>
      <w:r>
        <w:t>Der Beschwerdeführer führt dazu aus, bereits ohne weitere Klärung der Berechnungen der Suva werde aus dem Einspracheentscheid deutlich, dass der Schadensverlauf keine Prämienerhöhungen von 10 % oder mehr (per 2014) bzw. 33 % (per 2016) rechtfertige. Der Schadensverlauf bezüglich der BUV sei rückläufig oder mindestens stabil gewesen. Die Risikokredibilität (81 %) bedeute, dass die Korrelation zwischen dem Schadensverlauf im Betrieb und dem von der Suva angenommenen Risiko als hoch angesehen werde. Der Aufwandsentwicklung des A._______ komme also eine hohe Aussagekraft zu. Damit lasse sich aber gerade keine Prämienerhöhung rechtfertigen. Ein ähnliches Bild ergebe sich bei der NBUV. Richtig sei zwar, dass für 2013 und 2014 eine Zunahme des Aufwands festzustellen sei. Indessen habe die Suva ihre Prämienverfügung für das Jahr 2014 basierend auf den Zahlen 2011 und 2012 erhoben. Für diese Jahre sei keine Zunahme festzustellen. Betrachte man den Risikosatz - der aus dem massgebenden Jahr sowie den zwei vorangehenden und den zwei nachfolgenden Jahren gebildet werde - müsste von einer Abnahme ausgegangen werden. Überdies sei der (relativ stark schwankende) Schadensverlauf über eine längere Zeitperiode nicht im Zunehmen begriffen. Auch bei der NBUV könne dementsprechend der Schadenverlauf nicht ausschlaggebend sein. Schliesslich sei zu berücksichtigen, dass auch die Lohnsumme zwischen 2010 und 2014 von zirka CHF 390 Mio. auf zirka CHF 444 Mio. zugenommen habe. Dies entspreche einer Zunahme von knapp 14 %, was bei der Schadensentwicklung proportional in Abzug zu bringen wäre. Massgebend sei die relative Schadenszunahme, da ja auch die Prämien proportional zur Lohnsumme ansteigen würden. Die Prämienerhöhung per 2014 habe 10.3 % (BUV) bzw. 10.2 % (NBUV) betragen. Per 2016 sei die Prämie um 33.8 % (BUV und NBUV) angestiegen, soweit wiederum die Prämie per 2013 als Ausgangspunkt genommen werde. Der Prämienanstieg habe also gar nichts mit der Schadensentwicklung zu tun bzw. bewege sich völlig unabhängig von diesem. Die Prämienerhöhungen fänden ihre Entsprechung schliesslich in der kontinuierlichen Anhebung der Prämienstufen. Die Erhöhungen erfolgten wiederum rein mechanisch, ohne dass zwischen der Erhöhung und der Schadensentwicklung ein Zusammenhang bestehe.</w:t>
      </w:r>
    </w:p>
    <w:p>
      <w:r>
        <w:rPr>
          <w:b/>
        </w:rPr>
        <w:t>E. 5.2</w:t>
      </w:r>
    </w:p>
    <w:p>
      <w:r>
        <w:t>Die Suva führte in ihrem Schreiben vom 4. November 2011 aus, dass Nettoprämienanpassungen nur im Zusammenhang mit dem entsprechenden Schadensverlauf vorgenommen würden (B-act. 1 Beilage 2). Vernehmlassungsweise führte sie zusammengefasst aus, sie habe bestätigt, dass nur Nettoprämienanpassungen im Zusammenhang mit dem Schadensverlauf vorgenommen würden. Damit habe sie klar zum Ausdruck gebracht, dass sie nicht beliebig Zusicherungen abgeben könne, sondern die Tarifierung im Rahmen ihrer Prämiensysteme vornehmen werde. Inwiefern der Schadensverlauf der Betriebe im Prämienmodell ET 03 berücksichtigt werde, ergebe sich aus Art. 39 Prämientarif, wonach für die Prämienbemessung die individuellen Risikoerfahrungen der Betriebe im Umfang ihrer Risikokredibilität und ihrer Amortisationskredibilität mitberücksichtigt würden. Duplicando machte die Vorinstanz hinsichtlich des Schadensverlaufs geltend, der Beschwerdeführer scheine davon auszugehen, dass eine Prämienerhöhung nur aufgrund einer jährlichen Zunahme des Schadenaufwands erfolgen dürfe. Dabei lasse er ausser Acht, dass die Nettoprämien gemäss Art. 92 Abs. 1 UVG risikogerecht sein müssten. Zur Ermittlung des Risikos einer Klasse oder eines Betriebs werde nicht auf ein einzelnes Jahr abgestellt, sondern auf einen längeren Zeitraum, die Beobachtungsperiode. Das Risiko, welches sich während dieses Zeitraums verwirklicht habe, sei ein Indiz für die Schätzung des zukünftigen Risikos. Die Nettoprämiensätze des A._______ des Jahres 2013 hätten nicht dem für die Prämienbemessung 2014 ermitteltem Risiko entsprochen, weshalb sie hätten angehoben werden müssen. Hätte die Suva die Nettoprämiensätze des A._______ über einen längeren Zeitraum unter dessen Risiko belassen, hätte dies das Legalitätsprinzip sowie das Gleichbehandlungsgebot verletzt.</w:t>
      </w:r>
    </w:p>
    <w:p>
      <w:r>
        <w:rPr>
          <w:b/>
        </w:rPr>
        <w:t>E. 5.3</w:t>
      </w:r>
    </w:p>
    <w:p>
      <w:r>
        <w:t>Gemäss Art. 39 Abs. 1 Prämientarif werden im ET 03 für die Prämienbemessung die individuellen Risikoerfahrungen der Betriebe im Umfang ihrer Risikokredibilität und ihrer Amortisationskredibilität mitberücksichtigt. Die Risikokredibilität berechnet sich aus der Nettoprämie der vergangenen fünf Jahre dividiert durch die Nettoprämie der vergangenen fünf Jahre plus Fr. 1'500'000.- (Art. 39 Abs. 2 Prämientarif). Massgebend für die Bestimmung der mit einem Betrieb gemachten Risikoerfahrungen sind der während einer Beobachtungsperiode von 15 Jahren entstandene Aufwand für sämtliche Leistungen inkl. der Rückstellungen für die erwarteten zukünftigen Kosten (Art. 39 Abs. 3 Prämientarif). Das Mass für den Aufwand ist der Risikosatz, welcher in Prozenten der Lohnsumme angegeben wird. Zur Beurteilung des Risikoverlaufs wird das gleitende Mittel des Risikosatzes verwendet. Dieses wird aus dem Mittelwert des betrachteten Jahres und der zwei vorangehenden sowie der zwei nachfolgenden Jahre gebildet. Der betriebseigene Risikosatz wird anhand des bisherigen Risikoverlaufs in die Zukunft extrapoliert (Art. 39 Abs. 5 Prämientarif).</w:t>
      </w:r>
    </w:p>
    <w:p>
      <w:r>
        <w:rPr>
          <w:b/>
        </w:rPr>
        <w:t>E. 5.4</w:t>
      </w:r>
    </w:p>
    <w:p>
      <w:r>
        <w:t>Inwiefern der Schadenverlauf der Betriebe im Prämienmodell ET 03 zu berücksichtigen ist, ergibt sich aus Art. 39 Prämientarif, wonach für die Prämienbemessung die individuellen Risikoerfahrungen der Betriebe im Umfang ihrer Risikokredibilität und ihrer Amortisationskredibilität mitberücksichtigt würden. Zwar lässt sich die von der Suva eruierte Risikokredibilität in der Berufsunfallversicherung von 81 % mit Blick auf Art. 39 Abs. 2 Prämientarif, wonach sich diese aus der Nettoprämie der vergangenen 5 Jahre dividiert durch die Nettoprämie der vergangenen 5 Jahre plus Fr. 1'500'000.- errechnet, nachvollziehen. Wie oben dargelegt, ist für die Bestimmung der Risikoerfahrungen gemäss Art. 39 Abs. 3 Prämientarif der während einer Beobachtungsperiode von 15 Jahren entstandene Aufwand für sämtliche Leistungen inkl. Rückstellungen massgebend. Mit Blick auf die in vorstehender Erwägung 5.1 zusammengefasst wiedergegebenen Äusserungen der Suva ergibt sich, dass diese sich nicht konkret und rechtsgenüglich nachvollziehbar zu der von ihr tatsächlich herangezogenen Beobachtungsperiode geäussert hat. Es ist demnach nicht erstellt, ob und wie sie die 15-jährige Beobachtungsperiode berücksichtigt hat. Auch legte die Suva nicht in rechtsgenüglicher und nachvollziehbarer Weise dar, inwiefern die Nettoprämiensätze des A._______ des Jahres 2013 nicht dem für die Prämienbemessung 2014 ermittelten Risiko entsprochen hätten und deshalb hätten angehoben werden müssen, wie sie selbst angeführt hat. Schliesslich äusserte sich die Vorinstanz im Zusammenhang mit der Beurteilung des Risikoverlaufs auch nicht konkret zum gleitenden Mittel des Risikosatzes, welches gemäss Art. 39 Abs. 5 Prämientarif aus dem Mittelwert des betrachteten Jahres und der zwei vorangehenden sowie der zwei nachfolgenden Jahre gebildet wird. Unter diesen Umständen ist eine Prämienerhöhung im Umfang von zirka 10 % für das Bundesverwaltungsgericht nicht rechtsgenüglich nachvollziehbar. Daran vermögen auch die theoretischen Erklärungen der Vorinstanz im Zusammenhang mit der Nichtberufsunfallversicherung nichts zu ändern, wonach für 2013 ein leichter Aufwärtstrend feststellbar, die jüngsten Jahre jedoch noch nicht vollständig abgewickelt gewesen und die Prämienbemessung im ET 03 nicht allein aufgrund der jüngsten Risikofaktoren erfolgt seien. Diese reichen nicht aus, um aufgrund der Schadensentwicklung die Erhöhung der entsprechenden Prämie für das Jahr 2014 rechtsgenüglich nachvollziehen zu können.</w:t>
      </w:r>
    </w:p>
    <w:p>
      <w:r>
        <w:rPr>
          <w:b/>
        </w:rPr>
        <w:t>E. 6</w:t>
      </w:r>
    </w:p>
    <w:p>
      <w:r>
        <w:t>Die Vorinstanz hat sich bei der Prämienfestsetzung ferner auf die Berücksichtigung von Prämienüberschüssen berufen, was nachfolgend zu prüfen ist.</w:t>
      </w:r>
    </w:p>
    <w:p>
      <w:r>
        <w:rPr>
          <w:b/>
        </w:rPr>
        <w:t>E. 6.1</w:t>
      </w:r>
    </w:p>
    <w:p>
      <w:r>
        <w:t>Diesbezüglich machte der Beschwerdeführer geltend, die Suva habe sich darüber auszusprechen, in welchem Umfang die erwähnten Überschüsse bestünden, ob diese dem Kanton und/oder den D._______n zustünden und über welchen Zeitraum die Überschüsse abgebaut würden resp. ob diese schon abgebaut seien. Der Nettoprämiensatz habe nichts mit Überschüssen zu tun. Anderes stünde in offensichtlichem Widerspruch zu früheren Aussagen der Suva. Auf explizite Nachfrage nach dem Grund für die Senkung der Prämie per 2012 habe die Suva die Überschüsse mit keinem Wort erwähnt. Es werde damit bestritten, dass das Aufbrauchen von Überschüssen die Prämienerhöhung rechtfertige. Nach dem Verständnis des Beschwerdeführers erlaube die Erfahrungstarifierung der Suva eine Einschätzung des Risikos, welche sich nicht nur auf das nackte Zahlenmaterial stütze, sondern eben auch auf die Erfahrung der Fachexpertin oder des Fachexperten. Aus den Unterlagen der Suva sei aber nicht ersichtlich, wie weit sich eine Fachperson von den Zahlenwerten entfernen könne. Der Umfang der zulässigen Bandbreite sei somit unklar. Genauso unsicher sei, welche risikofremden Faktoren die Prämien beeinflussen könnten.</w:t>
      </w:r>
    </w:p>
    <w:p>
      <w:r>
        <w:rPr>
          <w:b/>
        </w:rPr>
        <w:t>E. 6.2</w:t>
      </w:r>
    </w:p>
    <w:p>
      <w:r>
        <w:t>In der Vernehmlassung vom 16. Juni 2014 machte die Vorinstanz geltend, die Prämiensätze des A._______ lägen zurzeit unter dessen Bedarf. Im Prämienmodell ET 03 erfolge die Amortisation von Fehlbeträgen oder Überschüssen in der BUV im Umfang der Amortisationskredibilität des Betriebes auf Stufe Betrieb. Der Mechanismus sei in Art. 39 Abs. 8 ff. Prämientarif geregelt. Da die Beschwerdeführerin im Prämienkonzern des Kantons C._______ zu den Gebern gehört habe und per 1. Januar 2012 aus dem Konzern ausgeschieden sei, verfüge sie über einen Prämienüberschuss. Dieser betrage zurzeit Fr. 3.377 Mio., welcher gemäss der Amortisationskredibilität zu 51 %, d.h. in Höhe von Fr. 1.722 Mio., berücksichtigt werde. Die Klasse 40M weise ebenfalls einen Überschuss auf, von welchem dem A._______ ein Anteil gutgeschrieben werde. Insgesamt habe der Aufwandüberschuss im Bemessungsjahr rund Fr. 2.5 Mio. betragen. Dies entspreche einem Amortisationsüberschuss von 369 % (in % der Nettoprämie 2012). Davon würden pro Jahr maximal 15 % abgebaut, woraus sich ein Risikokompensationssatz von derzeit -0.0669 % ergebe. Der massgebende Amortisationsbedarf hänge vom jeweiligen Stand der Ausgleichsreserve ab, welche sich von Jahr zu Jahr verändern könne. Er werde jedes Jahr neu gerechnet und der Risikokompensationssatz entsprechend festgelegt. Es könne daher nicht im Voraus gesagt werden, wie lange die Amortisation dauern werde. In der NBUV erfolge die Amortisation von Fehlbeträgen oder Überschüssen ausschliesslich auf Stufe Klasse. Die Ausgleichsreserve der Klasse 40M befinde sich zurzeit in der Ruhezone, d.h. es seien weder Fehlbeträge zu amortisieren noch Überschüsse abzubauen. Der Risikokompensationssatz der Beschwerdeführerin betrage in der NBUV daher 0. Zusammenfassend sei festzuhalten, dass die Erhöhung der Nettoprämiensätze der Beschwerdeführerin in der BUV und der NBUV per 1. Januar 2014 rechtskonform seien (B-act. 3). In ihrer Eingabe vom 30. September 2015 führte die Vorinstanz diesbezüglich aus, damit die Prämienüberschüsse hätten abgebaut werden können, seien die Nettoprämien unter den Risikosätzen festgelegt worden. Weil nach wie vor Überschüsse abzubauen gewesen seien und weil der Trend beim Risikoverlauf noch unsicher gewesen sei, seien die Sätze für das Jahr 2013 auf derselben Höhe belassen worden. Wo das Risiko genau liege, könne jeweils erst nach ein paar Jahren abschliessend beurteilt werden, da die Suva nach Unfalljahr tarifiere und sich der auf das Unfalljahr bezogene Aufwand eines Schadenfalls in den ersten Jahren noch stark verändern könne. Für die Prämiensätze für das Jahr 2014 sei im Übrigen zu berücksichtigen gewesen, dass aufgrund der neuen Rechnungsgrundlagen, welche für alle UVG-Versicherer verbindlich seien - ab dem Jahr 2014 höhere Rückstellungen für Renten aus neuen Unfällen gebildet werden müssten. Im Rahmen des Schreibens vom 15. März 2012 wies die Vorinstanz darauf hin, dass die D._______ von C._______ in der Vergangenheit nicht als eigene Risikoeinheiten tarifiert worden seien, sondern als Teil eines Prämienkonzerns, welcher alle Organisationseinheiten des Kantons umfasst habe. Als Konzernmitglieder hätten die D._______ höhere Prämien bezahlt, als es ihrem Risiko entsprochen habe und als sie bei einer Einzelbetrachtung bezahlt hätten. Aufgrund der wenigen Unfalljahre bei den D._______ habe zur Tarifierung hauptsächlich auf die Graphik des Kantons abgestellt werden müssen. Des Weiteren seien die Überhöhungen der Rückstellungen sowie die effektiv in den letzten Jahren bezahlten Nettoprämien zu berücksichtigen gewesen. Da die Suva langfristig keinen Gewinn mache und keine Überschüsse aus dem System abführe, müsse auch dies zugunsten der versicherten D._______ berücksichtigt werden. Der Kanton C._______ habe ab 2004 Deckungslücken in den Rückstellungen aufgefüllt. Dass dabei ein erheblicher Überschuss entstanden sei, sei vor allem darauf zurückzuführen, dass der Rentenrückgang nicht in diesem Mass habe erwartet und damit massive Abwicklungsgewinne hätten verbucht werden können. Die D._______ hätten eine faire Chance, ihre Prämie auf dem offerierten und verfügten Niveau zu halten. Die bis im Herbst verfügbaren Unfallmeldungen von 2011 bestätigten den sinkenden Trend. Sollten sich die Prämiensätze als zu tief erweisen, würden diese für die Folgejahre in Anwendung der Tarifierungssysteme der Risikoentwicklung angepasst. Dies sei den D._______ gegenüber auch so kommuniziert worden (B-act. 17 Beilage D).</w:t>
      </w:r>
    </w:p>
    <w:p>
      <w:r>
        <w:rPr>
          <w:b/>
        </w:rPr>
        <w:t>E. 6.3</w:t>
      </w:r>
    </w:p>
    <w:p>
      <w:r>
        <w:t>In der - mit angefochtenem Einspracheentscheid vom 31. März 2014 bestätigten - Verfügung vom 23. Oktober 2013 führte die Vorinstanz aus, als nichtgewinnorientierte Sozialversicherung gebe sie Überschüsse in Form von tieferen Prämien an ihre Versicherten zurück. Da jedoch die effektive Prämie stets vom Unfallrisiko des Betriebs und der jeweiligen Branche abhänge, seien auch Prämienerhöhungen möglich. Im Rahmen der Berufsunfallversicherung sei im ab 1. Januar 2014 gültigen Bruttoprämiensatz eine ausserordentliche Reduktion von 15 % auf dem Nettoprämiensatz berücksichtigt worden (B-act. 1 Beilage 4).</w:t>
      </w:r>
    </w:p>
    <w:p>
      <w:r>
        <w:rPr>
          <w:b/>
        </w:rPr>
        <w:t>E. 6.4</w:t>
      </w:r>
    </w:p>
    <w:p>
      <w:r>
        <w:t>Die Vorinstanz hat nach ihren eigenen Aussagen für die Prämienfestsetzung 2014 in der BUV Überschüsse via Risikokompensationssatz bei der Berechnung der Nettoprämie berücksichtigt. Zudem wurde bei der Berechnung der Bruttoprämie noch ein Abzug für den ausserordentlichen Abbau der Ausgleichsreserven vorgenommen. Soweit die Vorinstanz ausführt, vom Amortisationsüberschuss von 369 % (in % der Nettoprämie 2012) würden pro Jahr maximal 15 % abgebaut, stützt sich dieses Vorgehen auf Art. 16 Abs. 4 des Prämientarifs. Aufgrund der vorliegenden Akten nicht ersichtlich und von der Vorinstanz nicht nachvollziehbar aufgezeigt ist aber, aufgrund welcher Faktoren und in welchem Zeitraum der Prämienüberschuss von Fr. 3.377 Mio. zustande gekommen ist, wobei die Vorinstanz in ihrer Vernehmlassung erwähnt hat, dieser sei gemäss der Amortisationskredibilität des Beschwerdeführers zu 51% resp. 1'722 Mio. berücksichtigt worden. Ferner ist nicht nachvollziehbar, welche Überschüsse dem Beschwerdeführer bei der Ausgliederung aus dem Kanton zugestanden sind und inwieweit diese bereits abgebaut resp. noch vorhanden sind. Infolge mangelnder Begründung durch die Vorinstanz ist ebenfalls nicht bekannt, welcher Anteil am Überschuss der Klasse 40M dem Beschwerdeführer gutgeschrieben und wie er für die Prämienfestsetzung 2014 verwendet wurde.</w:t>
      </w:r>
    </w:p>
    <w:p>
      <w:r>
        <w:rPr>
          <w:b/>
        </w:rPr>
        <w:t>E. 7</w:t>
      </w:r>
    </w:p>
    <w:p>
      <w:r>
        <w:t>Schliesslich ergeben sich auch hinsichtlich der geltend gemachten höheren Rückstellungen Unklarheiten.</w:t>
      </w:r>
    </w:p>
    <w:p>
      <w:r>
        <w:rPr>
          <w:b/>
        </w:rPr>
        <w:t>E. 7.1</w:t>
      </w:r>
    </w:p>
    <w:p>
      <w:r>
        <w:t>Diesbezüglich äusserte sich die Vorinstanz bloss dahingehend, dass solche aufgrund der neuen Rechtsgrundlagen zwingend vorzunehmen seien. Um welche Rechtsgrundlagen es sich dabei konkret handelt, hat die Vorinstanz nicht näher präzisiert. Bei diesen dürfte es sich insbesondere um Art. 89 und 90 Abs. 2 UVG in Verbindung mit Art. 108 UVV gehandelt haben. Im Zusammenhang mit diesen Normen handelt es sich offenbar bei diesem "neuen Recht" um die vom Eidg. Departement des Innern - gestützt auf einen gemeinsamen Antrag des Schweizerischen Versicherungsverbands, der Suva und der IG Übrige Versicherer - genehmigte Änderung der einheitlichen Rechnungsgrundlagen per 1. Januar 2014 (vgl. hierzu www.bag.admin.ch Themen Unfall- und Militärversicherung Unfallversicherung Neuheiten im Jahr 2013 Informationsschreiben: Änderung des bisherigen Rechts per 1. Januar 2014; zuletzt besucht am 12. Dezember 2016; vgl. zum Ganzen auch Stefan Weber, Neue Rechtsgrundlagen und Hilfsmittel für die Berechnung von Kapital und Rente; abrufbar unter https://leonardo.ag Produkte Fakt Dr. h.c. Stephan Weber Publikationen; zuletzt besucht am 13. Dezember 2016). Dem von der Suva ausgearbeiteten Handbuch "Kapitalisierung der Renten im UVG, gültig ab 2014" lässt sich jedoch weder zu den Rückstellungen noch zu deren Höhe etwas entnehmen (vgl. https://www.koordination.ch Suche Handbuch Rechnungsgrundlagen und Finanzierungsverfahren Handbuch Kapitalisierung der Renten im UVG; zuletzt besucht am 13. Dezember 2016). Insofern ist auch diesbezüglich der Sachverhalt illiquid.</w:t>
      </w:r>
    </w:p>
    <w:p>
      <w:r>
        <w:rPr>
          <w:b/>
        </w:rPr>
        <w:t>E. 8</w:t>
      </w:r>
    </w:p>
    <w:p>
      <w:r>
        <w:t>Betreffend die von der Beschwerdeführerin aufgeworfene Frage des Ermessens der Vorinstanz im Zusammenhang mit der Nachvollziehbarkeit der Begründung ist schliesslich Folgendes festzuhalten:</w:t>
      </w:r>
    </w:p>
    <w:p>
      <w:r>
        <w:rPr>
          <w:b/>
        </w:rPr>
        <w:t>E. 8.1</w:t>
      </w:r>
    </w:p>
    <w:p>
      <w:r>
        <w:t>Im angefochtenen Einspracheentscheid vom 31. März 2014 führte die Vorinstanz aus, nach Berücksichtigung des erwarteten Risikosatzes für 2014 von 0.2996 %, des Risikokompensationssatzes von -0.0669 % und eines Anteils an der Äufnung der allgemeinen Reserve von 0.0028 % ergebe sich ein Nettobedarfssatz von 0.2355 %, was der Stufe 51 im Grundtarif der Suva entspreche. Damit die Prämienerhöhung nicht unverhältnismässig sei, sei der Nettoprämiensatz für das Jahr 2014 auf 0.1887 % (Stufe 47) festgelegt worden. Am 30. September 2015 (B-act. 17) hielt die Vorinstanz weiter dafür, beim ET 03 handle es sich nicht um Massenverwaltung, bei der das System die Prämienbemessung vornehme und einen Nettoprämiensatz ausspucke. Vielmehr werde die Prämienbemessung von den Underwritern vorgenommen, welche jeden ET O3 Betrieb einzeln tarifierten und ihnen bekannte Faktoren in die Berechnung einfliessen liessen. Noch deutlicher liess sich die Vorinstanz im Schreiben vom 15. März 2012 an das BAG im Rahmen der Offertstellung im Ausschreibungsverfahren vernehmen (B-act. 17 Beilage D). Darin hielt die Suva fest, es sei naheliegend, dass sie bei der Offerte an den unteren Rand der Bandbreite gegangen sei. Ausschlagend sei dafür auch gewesen, dass die Suva bislang noch in keiner namhaften öffentlichen Ausschreibung den Zuschlag erhalten habe und von den privaten Anbietern meist massiv unterboten worden sei. Im Rahmen der Vernehmlassung vom 16. Juni 2014 (B-act. 3) verwies die Vorinstanz auf ihren Einspracheentscheid und gab den Wortlaut von Art. 45 des Prämientarifs wieder. Weiter erwähnte sie, es sei ausgeführt worden, dass der aktuelle Nettobedarfssatz in der BUV der Stufe 51 im Grundtarif entspreche, was heisse, dass die Prämiensätze des A._______ zurzeit unter dessen Bedarf liegen würden. Ob sie im Folgejahr nach oben anzupassen seien, hänge von der weiteren Entwicklung ab.</w:t>
      </w:r>
    </w:p>
    <w:p>
      <w:r>
        <w:rPr>
          <w:b/>
        </w:rPr>
        <w:t>E. 8.2</w:t>
      </w:r>
    </w:p>
    <w:p>
      <w:r>
        <w:t>Die Ausführungen der Suva lassen den Schluss zu, dass sich die Erfahrungstarifierung einerseits nach der Einschätzung des Risikos und andererseits auf die Erfahrung des einzelnen Underwriter stützt. Die Vorinstanz hat es jedoch versäumt, die entsprechenden, vom zuständigen Underwriter ausgefertigten Unterlagen und Berechnungen ins Recht zu legen. Das ist insbesondere auch unter dem Aspekt problematisch, dass die Vorinstanz selber ausgeführt hat, dieser Spezialist lasse bekannte Faktoren in die Berechnung miteinfliessen - offenbar auch solche, die anhand der vorliegenden Akten nicht eruierbar sind. Ein solcher Faktor stellt schliesslich auch der Nettobedarfssatz gemäss Art. 39 Abs. 11 Prämientarif dar. Dieser lässt sich aufgrund der Vorakten und der Begründung der Vorinstanz im Verwaltungs- und Beschwerdeverfahren, wonach die massgeblichen Faktoren beim A._______ in den Stellungnahmen vom 30. September 2015 sowie im Einspracheentscheid vom 31. März 2014 eingehend erläutert worden seien, nicht überprüfen, da die Vorinstanz die massgeblichen Faktoren zu dessen Berechnung entgegen ihren Ausführungen nicht bekannt gegeben hat, insbesondere betreffend den betriebseigenen Risikosatz, den Risikokompensationssatz und die Rückstellungen. Somit ist für das Bundesverwaltungsgericht nicht ersichtlich, auf welcher Berechnungsgrundlage und in welchem Ausmass die Vorinstanz ihrer Ansicht nach die Prämie für das Jahr 2014 noch (mehr) hätte erhöhen können resp. in welcher Bandbreite sich der Underwriter von den Zahlenwerten entfernen kann und darf. Schliesslich ergibt sich aus den Akten auch nicht explizit, welche risikofremden Faktoren die Prämien resp. deren Erhöhung beeinflussen könnten. Da das Bundesverwaltungsgericht nach dem Dargelegten keinen Einblick in sämtliche, für die Bestimmung der Prämie massgeblichen Berechnungsfaktoren erhalten hat, kann dieses auch nicht beurteilen, ob der Umstand, dass die Vorinstanz noch in keiner namhaften öffentlichen Ausschreibung den Zuschlag erhalten hatte, die Prämienberechnung per 2012 gemäss der Offerte von 2011 beeinflusst hat.</w:t>
      </w:r>
    </w:p>
    <w:p>
      <w:r>
        <w:rPr>
          <w:b/>
        </w:rPr>
        <w:t>E. 9</w:t>
      </w:r>
    </w:p>
    <w:p>
      <w:r>
        <w:t>Zusammenfassend ist festzuhalten, dass die Prämienfestsetzung für das Jahr 2014, namentlich die Erhöhung des Prämiensatzes in der BUV und der NBUV um je zwei Stufen per 1. Januar 2014, weder aufgrund der Begründung des angefochtenen Einspracheentscheids vom 31. März 2014 noch der Ergänzungen im Rahmen des Beschwerdeverfahrens nachvollzogen werden kann. Die Vorinstanz hat insbesondere nicht dargelegt, welchen Anteil am Prämienüberschuss - berechnet auf welchen Faktoren - sie dem Beschwerdeführer zugerechnet und in der Folge den Risikokompensationssatz ermittelt hat (E.6.4). Auch hat sie nicht näher präzisiert, worauf sie die Ermittlung der erforderlichen Rückstellungen gestützt hat (E. 7.1). Es ist für das Bundesverwaltungsgericht ferner nicht ersichtlich, auf welcher Berechnungsgrundlage und in welchem Ausmass die Vorinstanz ihrer Ansicht nach die Prämie für das Jahr 2014 noch (mehr) hätte erhöhen können und welchen Spielraum der Underwriter genutzt hat. Den Akten lässt sich überdies nicht entnehmen, welche risikofremden Faktoren, bzw. in welchem Ausmass, die Prämienfestsetzung beeinflusst haben, und auch die massgeblichen Faktoren zur Berechnung des Nettobedarfssatzes gemäss Art. 39 Abs. 11 Prämientarif hat die Vorinstanz nicht bekannt gegeben. (E. 8.2). Die Vorinstanz hat damit den Anspruch des Beschwerdeführers auf rechtliches Gehör und namentlich ihre Begründungspflicht verletzt. Wesentliche Sachverhaltselemente hat sie dem Gericht trotz mehrmaliger Aufforderung nicht bekanntgegeben. In Gutheissung der Beschwerde vom 13. Mai 2014 ist demnach der Einspracheentscheid vom 31. März 2014 aufzuheben. Die Akten sind an die Vorinstanz zurückzuweisen, damit diese betreffend das Jahr 2014 eine nachvollziehbare Prämienberechnung im Sinne der Erwägungen erstellt, die massgebenden Faktoren offenlegt und im Anschluss daran eine neue Verfügung mit nachvollziehbarer Begründung erlässt. Bei diesem Ausgang des Verfahrens muss offengelassen werden, ob die Vorinstanz beim Erlass der angefochtenen Verfügung auch das Legalitätsprinzip resp. gesetzliche Grundlagen der Unfallversicherung verletzt hat, wie der Beschwerdeführer gerügt hat. Der Antrag des Beschwerdeführers, im Rahmen des Beschwerdeverfahrens sei eine versicherungsmathematische Expertise zur Frage einzuholen, ob im Lichte der vorgenannten Tarifierung die Erhöhung der Prämie per 2014 korrekt sei, ist vor dem Hintergrund der vorstehenden Erwägungen betreffend die mangelhafte Begründung der angefochtenen Verfügung abzuweisen.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von ihm geleistete Kostenvorschuss in der Höhe von Fr. 3'000.- ist ihm nach Rechtskraft des vorliegenden Urteils zurückzuerstatten.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5'000.-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