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C-2615/2011 vom 27. April 2012</w:t>
      </w:r>
    </w:p>
    <w:p>
      <w:r>
        <w:t>Bundesverwaltungsgericht, 2012-04-27, IT</w:t>
      </w:r>
    </w:p>
    <w:p>
      <w:r>
        <w:rPr>
          <w:b/>
        </w:rPr>
        <w:t xml:space="preserve">Quelle: </w:t>
      </w:r>
      <w:r>
        <w:t>https://mcp.opencaselaw.ch/entscheid/bvger_C-2615_2011</w:t>
      </w:r>
    </w:p>
    <w:p>
      <w:r>
        <w:t>FR: TAF C-2615/2011 du 27 avril 2012</w:t>
      </w:r>
    </w:p>
    <w:p>
      <w:r>
        <w:t>IT: TAF C-2615/2011 del 27 aprile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al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4.1</w:t>
      </w:r>
    </w:p>
    <w:p>
      <w:r>
        <w:t>Il ricorrente, oltre a postulare l'annullamento del divieto di entrata, chiede nel suo gravame di poter nuovamente ricongiungersi con la propria famiglia residente in Ticino, rilevando inoltre che ciò gli permetterebbe di concludere la propria formazione quale gessatore.</w:t>
      </w:r>
    </w:p>
    <w:p>
      <w:r>
        <w:rPr>
          <w:b/>
        </w:rPr>
        <w:t>E. 4.2</w:t>
      </w:r>
    </w:p>
    <w:p>
      <w:r>
        <w:t>Occorre a tale proposito osservare che oggetto della presente procedura è un divieto d'entrata, il quale impedisce alla persona interessata l'entrata in Svizzera e nello spazio Schengen per un soggiorno limitato. Un'eventuale revoca del provvedimento querelato non significa che la persona toccata da detta misura possa di seguito stabilirvisi indeterminatamente svolgendo un'attività lavorativa. La richiesta formulata dal ricorrente esula perciò dall'oggetto della causa. Nel caso di specie, le autorità competenti, segnatamente le autorità cantonali, hanno già avuto modo di statuire in merito alla questione: in particolare il permesso di domicilio in Ticino rilasciato a favore dell'interessato è stato revocato il 21 gennaio 2009 dalla Sezione dei permessi e dell'immigrazione del Cantone Ticino e tale decisione è stata confermata sia dal Consiglio di Stato che dal TRAM ed è pertanto cresciuta in giudicato. Anche la susseguente istanza di revisione è stata respinta dalle competenti autorità. Di conseguenza la conclusione in ordine al ricongiungimento famigliare è inammissibile. 5.5.1. 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 5.2. 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6.1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208/115/Ce] RU 2010 5925 e FF 2009 7737). Conformemente al nuovo art. 67 cpv. 2 LStr, l'UFM può vietare l'entrata in Svizzera, ad uno straniero che ha violato o espone a pericolo l'ordine e la sicurezza pubblici in Svizzera o all'estero (art. 67 cpv. 2 lett. a LStr). Il divieto d'entrata è pronunciato per una durata massima di cinque anni. Può essere pronunciato per una durata più lunga se l'interessato costituisce un grave pericolo per l'ordine e la sicurezza pubblici (art. 67 cpv. 3 LStr). La prassi previgente dell'UFM per quanto concerne la disposizione del divieto d'entrata è compatibile con tali principi e può quindi essere ripresa (cfr. FF 2009 7752). Infine l'autorità cui compete la decisione può, per motivi umanitari o altri motivi gravi, rinunciare a pronunciare un divieto d'entrata oppure sospenderlo definitivamente o temporaneamente (art. 67 cpv. 5 LStr).</w:t>
      </w:r>
    </w:p>
    <w:p>
      <w:r>
        <w:rPr>
          <w:b/>
        </w:rPr>
        <w:t>E. 6.2</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6.3</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 In proposito va detto che i reati perpetrati contro le norme del diritto degli stranieri, rappresentano delle violazioni di legge e possono dunque in quanto tali condurre all'emissione di un divieto d'entrata (cfr. Messaggio precitato FF 2002 pag. 3429).</w:t>
      </w:r>
    </w:p>
    <w:p>
      <w:r>
        <w:rPr>
          <w:b/>
        </w:rPr>
        <w:t>E. 7.1</w:t>
      </w:r>
    </w:p>
    <w:p>
      <w:r>
        <w:t>Dalle risultanze agli atti emerge che l'interessato (assieme al fratello) è stato condannato mediante decisione del Consiglio per i minorenni del 5 aprile 2006 al collocamento in una casa di educazione a tempo indeterminato, ma per almeno due anni, per assassinio, furto d'uso, e ripetuta infrazione e contravvenzione alla LStup.</w:t>
      </w:r>
    </w:p>
    <w:p>
      <w:r>
        <w:rPr>
          <w:b/>
        </w:rPr>
        <w:t>E. 7.2</w:t>
      </w:r>
    </w:p>
    <w:p>
      <w:r>
        <w:t>Dalla sentenza di condanna citata emerge: "l'assoluta mancanza di scrupoli dei due autori sia nella decisione di uccidere la vittima, adottata per realizzare un obbiettivo abietto e futile come quello di sottrarre un centinaio di pastiglie di sostanza stupefacente, sia nella sua attuazione effettuata con modalità di una brutalità che difficilmente può trovare confronto, colpendo alle spalle in due una vittima addormentata, sia ancora con l'assoluta mancanza di senso di colpa di pentimento successivi" (sentenza, consid. 2.1, pag. 22). Con riferimento al ricorrente la perizia psichiatrica ha in particolare evidenziato che: "si tratta di un soggetto con spiccate caratteristiche antisociali [...]. L'evidenza di una pericolosità sociale richiede una presa a carico accurata e continua nella speranza di favorire la metabolizzazione delle problematiche intrapsichiche suesposte" [sentenza, consid. 7.1.3, pag. 32). E ancora: A._______ "ha dimostrato di essere altamente pericoloso. [...] Al momento attuale il peritando va considerato pericoloso per la sicurezza pubblica" (sentenza, consid. 7.1.4, pag. 32). In relazione al pericolo di recidiva la sentenza ha indicato che "una valutazione appare estremamente difficile, molto dipende anche dal contesto sociale in cui il peritando potrà essere inserito/saprà inserirsi. Se adeguatamente sostenuto e isolato da influenze nefaste come quello di personalità più aggressive della sua, capaci di stimolare le sue tendenze gregarie per sfruttarle a fin di male e se saprà tenersi lontano dall'uso di sostanze stupefacenti, il pericolo di recidiva si ridurrà al minimo. In caso contrario, al momento attuale non è possibile escludere un ripetersi di atti illegali, anche gravi" (sentenza, consider. 7.1.4, pag. 32). Inoltre sulla base delle perizie raccolte il Consiglio per i minorenni ha riconosciuto per entrambi i fratelli un altissimo grado di pericolosità, sia in relazione alla gravità degli atti compiuti, sia in relazione dei profili personali emersi, sottolineando perdipiù che essi presentano "un'importante difficoltà di strutturazione della personalità con notevole povertà dell'Io, facoltà intellettive limitate e mancanza di valori e di normative interiorizzati. Ciò può spiegare, almeno in parte, la freddezza emotiva al momento del delitto, nell'occultamento delle prove e durante i giorni precedenti l'arresto" (sentenza, consider. 8, pag. 35).</w:t>
      </w:r>
    </w:p>
    <w:p>
      <w:r>
        <w:rPr>
          <w:b/>
        </w:rPr>
        <w:t>E. 7.3</w:t>
      </w:r>
    </w:p>
    <w:p>
      <w:r>
        <w:t>Infine l'autorità penale del Cantone Ticino ha rilevato che entrambi i fratelli "hanno riconosciuto di provare tristezza per [la vittima] e di avere provato vergogna nei confronti dei genitori per quanto da loro fatto. Un senso di vergogna provato comunque solo dopo essere stati scoperti e che rappresenta solo un possibile embrione del senso di colpa. Infatti gli accusati non hanno lasciato trasparire nessuna particolare emozione se non quando il Presidente ha mostrato loro le fotografie del cadavere al momento del rinvenimento" (sentenza, consid. 2.1, pag. 22).</w:t>
      </w:r>
    </w:p>
    <w:p>
      <w:r>
        <w:rPr>
          <w:b/>
        </w:rPr>
        <w:t>E. 7.4</w:t>
      </w:r>
    </w:p>
    <w:p>
      <w:r>
        <w:t>A fronte di quanto sopra, con tale reato, il ricorrente ha dimostrato di rappresentare una concreta minaccia, sufficientemente grave, da legittimare l'adozione di una misura dettata da motivi d'ordine pubblico. Ne discende che l'autorità di prime cure ha, a giusto titolo, emesso un divieto d'entrata nei confronti di A._______ conformemente all'art. 67 cpv. 2 lett. a LStr. 8.Essendo la decisione di divieto d'entrata confermata nel suo principio, resta ora da stabilire se la durata della misura di allontanamento adottata dall'UFM, prevista per un periodo indeterminato, rispetta il principio di proporzionalità. 8.1. 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Ulrich Häfelin/Georg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 8.2. Il ricorrente si è reso protagonista di crimini particolarmente efferati per l'ordine pubblico e che riguardano beni giuridici estremamente sensibili, quali la vita umana. Egli ha commesso un assassinio - il più grave reato di tutti quelli contemplati nel codice penale svizzero - come pure ripetute infrazioni e contravvenzioni alla LStup (cfr. sentenza del Consiglio per i minorenni del 5 aprile 2006). Quanto agli interessi privati dell'interessato, segnatamente i suoi problemi di integrazione in Kosovo, la difficoltà di trovare un impiego in questo Paese a causa delle difficili condizioni economiche e politiche e il fatto che i genitori, in cattiva salute, e la sorella vivono in Svizzera, dove egli stesso ha frequentato le scuole dell'obbligo, imparato una lingua nazionale ed iniziato una formazione professionale, senza tuttavia terminarla, benché non irrilevanti, non permettono di ritenerli preponderanti rispetto all'interesse pubblico di mantenimento dell'ordine e della sicurezza in Svizzera. In particolare, sebbene non senza una certa difficoltà, i suoi famigliari hanno comunque la possibilità di recarsi in Kosovo a rendergli visita. 8.3. Date le circostanze la ponderazione degli interessi in presenza conduce a considerare che l'interesse pubblico al mantenimento della misura di allontanamento nei confronti di A._______ prevale su quello di quest'ultimo a potersi recare in Svizzera senza particolari controlli. Il Tribunale ritiene pertanto che un divieto d'entrata di durata indeterminata appare proporzionato allo scopo di protezione dell'ordine e della sicurezza pubblici ricercati con questa misura. La decisione di divieto d'entrata illimitata risulta conforme al principio della proporzionalità anche sotto il profilo dell'art. 8 della Convenzione del 4 novembre 1950 per la salvaguardia dei diritti dell'uomo e delle libertà fondamentali (CEDU; RS 0.101) che tutela la vita privata e famigliare delle persone. Infatti,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segnatamente in ragione di un handicap (fisico o mentale) o di una grave malattia, cosa che però non è data nel caso di specie (cfr. anche sentenza del Tribunale cantonale amministrativo del 22 luglio 2009, consid. 4 e 5). 9.Si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Di principio lo straniero potrà in ogni momento sollecitare il riesame, a condizione che tale richiesta non costituisca una manovra dilatoria. In linea generale si deduce dalla prassi applicata in tale ambito che il diritto ad un riesame approfondito esiste allorquando sono trascorsi circa dieci anni dall'espiazione della pena. Per determinare tale periodo si risale all'epoca dell'ultima condanna penale così come a quella dei delitti perpetrati. Per valutare invece se sussiste a tutt'oggi una mi­naccia della sicurezza e dell'ordine pubblici è rilevante il comporta­mento della persona interessata dopo la sua scarcerazione mentre ri­veste un'importanza minore il comportamento tenuto durante il periodo di detenzione (cfr. DTAF 2008/24 consid. 6.2 e giurisprudenza ivi cita­ta). Nella misura in cui i gravi fatti risalgono al 4/5 aprile 2005, non si può ritenere sia trascorso un lasso di tempo sufficiente per poter limitare la durata della misura disposta dall'autorità inferiore. 10.Ciò detto l'UFM con decisione del 25 marzo 2011 non ha violato il diritto federale, né abusato del suo potere di apprezzamento; l'autorità di prime cure non ha nemmeno accertato in modo inesatto o incompleto i fatti giuridicamente rilevanti ed inoltre la decisione non è inadeguata (art. 49 PA). Per questi motivi il ricorso, nella misura in cui è ammissibile, va respinto. Visto l'esito della procedura, le spese processuali vengono poste a carico del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