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C-2614/2012 vom 12. März 2012</w:t>
      </w:r>
    </w:p>
    <w:p>
      <w:r>
        <w:t>Bundesverwaltungsgericht, 2012-03-12, IT</w:t>
      </w:r>
    </w:p>
    <w:p>
      <w:r>
        <w:rPr>
          <w:b/>
        </w:rPr>
        <w:t xml:space="preserve">Quelle: </w:t>
      </w:r>
      <w:r>
        <w:t>https://mcp.opencaselaw.ch/entscheid/bvger_C-2614_2012</w:t>
      </w:r>
    </w:p>
    <w:p>
      <w:r>
        <w:t>FR: TAF C-2614/2012 du 12 mars 2012</w:t>
      </w:r>
    </w:p>
    <w:p>
      <w:r>
        <w:t>IT: TAF C-2614/2012 del 12 marzo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3.1</w:t>
      </w:r>
    </w:p>
    <w:p>
      <w:r>
        <w:t>L'esame del diritto a prestazioni secondo la LAI è retto dal tenore della stessa al momento della decisione impugnata, ritenuto tuttavia il principio secondo il quale le norme applicabili sono quelle in vigore al momento in cui dei fatti giuridicamente rilevanti si sono verificati (DTF 130 V 445 consid. 1.2). Le disposizioni della 6a revisione della LAI (primo pacchetto di misure), in vigore dal 1° gennaio 2012 (RU 2011 5659; FF 2010 1603), sono dunque applicabili in concreto, come lo sono le disposizioni della LPGA, se e per quanto la LAI lo preveda (art. 2 LPGA).</w:t>
      </w:r>
    </w:p>
    <w:p>
      <w:r>
        <w:rPr>
          <w:b/>
        </w:rPr>
        <w:t>E. 3.2</w:t>
      </w:r>
    </w:p>
    <w:p>
      <w:r>
        <w:t>Il giudice delle assicurazioni sociali analizza la legalità della decisione impugnata, in generale, secondo lo stato di fatto esistente al mo­mento in cui la decisione in lite è stata resa (DTF 130 V citata). Egli può tuttavia tenere conto dei fatti ve­rificatisi dopo la data della decisione impugnata quando essi possono im­porsi quali elementi d'accertamento retrospettivo della situazione ante­riore alla decisione stessa (DTF 130 V 138, vedi anche 121 V 366 consid. 1b, 116 V 248 consid. 1a). Ne discende che, in concreto, il periodo di cognizione di questo Tribunale si estende fino al 12 marzo 2012.</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4.5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5</w:t>
      </w:r>
    </w:p>
    <w:p>
      <w:r>
        <w:t>Il ricorrente contesta la validità materiale della decisione dell'UAIE, chiedendo che gli sia riconosciuto il diritto ad una rendita intera d'invalidità anche oltre il 30 giugno 2009.</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la decisione iniziale è stata pronunciata il 9 gennaio 2004 e la decisione di revisione qui impugnata è stata emessa il 12 marzo 2012, la decisione intercalare del 4 maggio 2009 essendo stata annullata da questo Tribunale mediante sentenza del 25 ottobre 2010. Ne consegue che, seguendo la giurisprudenza, il periodo di riferimento per giudicare se verosimilmente è intervenuta una modifica rilevante del grado d'invalidità, tale da giustificare la riduzione della rendita intera a tre quarti di rendita, come disposto dall'UAIE, è quello tra il 9 gennaio 2004 e il 12 marzo 2012.</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9.1</w:t>
      </w:r>
    </w:p>
    <w:p>
      <w:r>
        <w:t>Dalla documentazione medica agli atti e, in particolare, dalle perizie dei dottori B._______, chirurgo ortopedico, del 17 aprile 2008 e 8 febbraio 2012 (doc. 122, vol. 1 e 52, vol. 2), e C._______, psichiatra, del 9 febbraio 2009 e 17 novembre 2011 (doc. 150, vol. 1 e 51, vol. 2), nonché dai rapporti dei dottori D._______, del 6 giugno 2008 e 23 marzo 2009 (doc. 126 e 155, vol. 1), e E._______, del 27 febbraio 2012 (doc. 54, vol. 2), entrambi medici dell'UAIE, si evince la diagnosi di gonalgia bilaterale con deficit funzionale, di sindromi cervicospondilogena e vertebrale, di disfunzione all'altezza della transizione costo-cartilaginea anteriore all'emicostato sinistro, come pure di sindrome depressiva ricorrente di gravità attuale media con sindrome biologica da diversi anni. Questa diagnosi risulta essere univoca e non è contestata dal ricorrente, dimodoché non vi sono motivi per non aderirvi.</w:t>
      </w:r>
    </w:p>
    <w:p>
      <w:r>
        <w:rPr>
          <w:b/>
        </w:rPr>
        <w:t>E. 9.2</w:t>
      </w:r>
    </w:p>
    <w:p>
      <w:r>
        <w:t>Rispetto alle conseguenze invalidanti delle affezioni diagnosticate, il dott. B._______ ha ribadito, nella sua perizia dell'8 febbraio 2012, la valutazione del caso contenuta nella sua perizia del 17 aprile 2008, ossia che il ginocchio sinistro, dal punto di vista funzionale, può migliorare con l'impianto di una protesi totale, che sarebbe previsto di sottoporre il ginocchio destro ad un intervento d'osteotomia secondo Insaal, che, dal punto di vista prognostico, non ci sono elementi che permettano di prevedere con sufficiente attendibilità un miglioramento significativo dello stato di salute, che, per quanto concerne il rachide, i reperti clinici riscontrati, come pure quelli radiologici, rispettivamente neuro-radiologici obiettivi, non mettono in evidenza delle anomalie di rilievo e non presentano valenza invalidante, e che il ricorrente, il quale dovrebbe beneficiare di misure attive di rinforzo muscolare e stabilizzazione del tronco, può esercitare, almeno nella misura del 50%, un'attività lavorativa prevalentemente o quasi prettamente sedentaria, che non implichi l'uso di una pedaliera, l'esposizione a cambiamenti frequenti o repentini della temperatura, rispettivamente dell'umidità ambiente, spostamenti frequenti anche corti e su superfici regolari, il superamento di scale, i movimenti di flessione delle ginocchia, le posizioni accovacciate e il trasporto di pesi superiori ad un paio di chili, con la possibilità di stendere liberamente le gambe al di sotto del piano di lavoro. Anche il dott. C._______, che aveva formulato un'incapacità lavorativa del 30% nella sua perizia del 9 febbraio 2009, l'ha confermata nella sua perizia del 17 novembre 2011, in cui ha inoltre rilevato che non è subentrato nessun "gran cambiamento" della patologia psichiatrica tra queste due date, precisando che se i sintomi dovessero peggiorare in futuro, sarebbe auspicabile una presa a carico psichiatrica regolare del ricorrente con la prescrizione di un farmaco antidepressivo da assumere costantemente. Dal canto suo, il dott. E._______, come in precedenza il dott. D._______, ha ripreso testualmente, nel suo rapporto del 27 febbraio 2012, gli elementi diagnostici formulati dai dottori B._______ e C._______, nonché i limiti funzionali espressi dal chirurgo ortopedico. Il medico dell'UAIE ha inoltre specificato (doc. 54/5 e 6, vol. 2), come richiesto con la sentenza del 25 ottobre 2010, le attività concretamente esigibili dal ricorrente, ossia, nell'ambito del commercio all'ingrosso, quella di venditore per corrispondenza, al telefono o via internet, nel campo del commercio al dettaglio, quelle di riparatore di piccoli apparecchi e di articoli domestici, cassiere e venditore di biglietti, nonché, nel settore dei servizi, quelle di addetto alla ricezione o telefonista.</w:t>
      </w:r>
    </w:p>
    <w:p>
      <w:r>
        <w:rPr>
          <w:b/>
        </w:rPr>
        <w:t>E. 9.3</w:t>
      </w:r>
    </w:p>
    <w:p>
      <w:r>
        <w:t>Visto quanto precede e constatato innanzitutto che le perizie complementari dei dottori B._______ e C._______, richieste dal dott. E._______, confermano in pieno le conclusioni dei due precedenti rapporti peritali e permettono di escludere che lo stato di salute del ricorrente si sia modificato in modo rilevante nel periodo intercorso tra i due esami, questo Tribunale conclude che la capacità lavorativa del ricorrente, in attività confacenti al suo stato di salute e rispettose delle limitazioni funzionali sopraesposte, può essere fissata al 50% dal 15 gennaio 2008, ossia dalla data del primo esame peritale effettuato da parte del dott. B._______ per la stesura della perizia del 17 aprile 2008.</w:t>
      </w:r>
    </w:p>
    <w:p>
      <w:r>
        <w:rPr>
          <w:b/>
        </w:rPr>
        <w:t>E. 10</w:t>
      </w:r>
    </w:p>
    <w:p>
      <w:r>
        <w:t>Come già esposto nel consid. 4.5,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è necessario innanzitutto sottolineare che l'UAIE ha proceduto al nuovo calcolo dell'invalidità il 14 febbraio 2011 (doc. 7, vol. 2), ossia prima che il suo servizio medico, nella persona del dott. E._______, avesse elencato le attività medicalmente esigibili il 27 febbraio 2012 (doc. 54/1 a 6, vol. 2). Ciò detto, visto che le attività liberamente scelte dai responsabili del calcolo corrispondono pienamente a quelle indicate dal dott. E._______, questo fatto non intacca la validità formale del calcolo esposto di seguito. Ora, l'UAIE ha determinato per il 2008, secondo i valori forniti dall'ex datore di lavoro, indicizzati (l'indice dei salari nominali per gli uomini è passato da 1856 nel 2000 a 2092 nel 2008), un salario da valido mensile di Fr. 5'999.19, e, sulla base dei dati dell'UFS nel 2008, adattati a 41.7 ore alla settimana, un salario da invalido medio di Fr. 4'699.59 al mese, realizzabile come venditore per corrispondenza, al telefono o via internet, cassiere, venditore di biglietti, telefonista nonché addetto alla registrazione o alla scannerizzazione di dati, ridotto del 10% in funzione delle circostanze personali e professionali dell'assicurato (lavori in posizione seduta, implicanti unicamente la messa a contribuzione del tronco superiore, ecc.), e nella misura del 50% (capacità lavorativa residua), dimodoché è stata messa in evidenza una perdita di guadagno del 64.75%, corrispondente ad un grado d'invalidità del 65%. Nel suo insieme questo calcolo è stato eseguito correttamente, anche se deve essere rilevato che l'UAIE avrebbe dovuto indicizzare tutti i salari utilizzati al 2009 e quindi sino al 2012, data della decisione impugnata. Questa mancanza non è comunque suscettibile di modificare il risultato in modo rilevante, per il motivo che l'indicizzazione del salario da valido e l'indicizzazione del salario da invalido (media dei salari scelti) tendono ad equilibrarsi. Quindi, tutto sommato, è a giusta ragione che l'UAIE ha deciso di ridurre a tre quarti la rendita intera percepita dal ricorrente, e ciò a decorrere dal 1° luglio 2009.</w:t>
      </w:r>
    </w:p>
    <w:p>
      <w:r>
        <w:rPr>
          <w:b/>
        </w:rPr>
        <w:t>E. 11.1</w:t>
      </w:r>
    </w:p>
    <w:p>
      <w:r>
        <w:t>Ai sensi dell'art. 29 cpv. 2 della Costituzione federale della Confederazione svizzera del 18 aprile 1999 (Cost.; RS 101),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(DTF 129 II 497 consid. 2.2, pag. 504; 127 I 54 consid. 2b, pag. 56; 127 III 576 consid. 2c, pag. 578; 126 V 130 consid. 2°, pag. 130; cfr., riguardo al previgente art. 4 cpv. 1 vCost., la cui giurisprudenza si applica anche alla nuova norma, DTF 126 I 15 consid. 2a/aa, pag. 16; 124 V 180 consid. 1a, pag. 181, 372 consid. 3b, pag. 375). ll diritto di essere sentito di cui all'art. 29 cpv. 2 Cost. comprende inoltre l'obbligo per l'autorità di motivare le proprie decisioni. Conformemente all'art. 6 della Convenzione europea per la salvaguardia dei diritti dell'uomo e delle libertà fondamentali (CEDU; RS 0.101), in vigore per la Svizzera dal 28 novembre 1974, ogni persona ha diritto ad un'equa e pubblica udienza entro un termine ragionevole, davanti ad un tribunale indipendente e imparziale costituito per legge, al fine della determinazione sia dei suoi diritti e dei suoi doveri di carattere civile, sia della fondatezza di ogni accusa penale che gli venga rivolta .</w:t>
      </w:r>
    </w:p>
    <w:p>
      <w:r>
        <w:rPr>
          <w:b/>
        </w:rPr>
        <w:t>E. 11.2</w:t>
      </w:r>
    </w:p>
    <w:p>
      <w:r>
        <w:t>Secondo la giurisprudenza l'obbligo di organizzare un dibattimento pubblico ai sensi della norma convenzionale presuppone che la parte formuli una richiesta chiara e inequivocabile; semplici domande di assunzione di prove, come ad esempio istanze di audizione personale, nella misura in cui si traducono in una richiesta di interrogatorio nel senso di una assunzione di prove, ma non invece se tendono a esporre il proprio punto di vista personale sulle risultanze probatorie davanti a un tribunale indipendente (sentenza 2C_100/2011 del 10 giugno 2011 consid. 2), o di interrogatorio di parti o di testimoni, oppure richieste di sopralluogo, non bastano per creare un simile obbligo (si confronti in proposito anche l'art. 30 Cost. DTF 125 V 37 consid. 2, pag. 38; 122 V 47 consid. 3a, pag. 54 segg.).</w:t>
      </w:r>
    </w:p>
    <w:p>
      <w:r>
        <w:rPr>
          <w:b/>
        </w:rPr>
        <w:t>E. 11.3</w:t>
      </w:r>
    </w:p>
    <w:p>
      <w:r>
        <w:t>In concreto, il ricorrente ha richiesto di potere "partecipare in un'udienza per una trattazione orale del giudizio che potrebbe senz'altro essere più utile rispetto al ricorso cartaceo", e che, "per l'istruzione della causa, venga disposta consulenza tecnica d'ufficio e nominato all'uopo un consulente [...]", con l'indicazione "come testi" dei "dottori B._______ e C._______" affinché siano interrogati "sulle circostanze di accertamento di cui al corpo del ricorso". Dato il tenore di questa formulazione, la richiesta del ricorrente si apparenta ad un'istanza di assunzione di ulteriori prove in contraddittorio per il tramite delle parti, che la giurisprudenza non considera quale domanda esplicita intesa ad indire un pubblico dibattimento. È così giustificato affermare che il ricorrente non ha presentato una domanda chiara ed inequivocabile tendente all'organizzazione di un'udienza pubblica ai sensi dell'art. 6 CEDU, ma piuttosto una richiesta generica di essere nuovamente sentito, insufficiente a fondare un obbligo per questo Tribunale di indire un dibattimento pubblico con, in particolare, l'audizione dei testi da lui proposti (sentenze del Tribunale federale nelle cause 9C_578/2008 del 29 maggio 2009, consid. 4.8, e 9C_903/2011 del 25 gennaio 2013, consid. 6.3).</w:t>
      </w:r>
    </w:p>
    <w:p>
      <w:r>
        <w:rPr>
          <w:b/>
        </w:rPr>
        <w:t>E. 11.4</w:t>
      </w:r>
    </w:p>
    <w:p>
      <w:r>
        <w:t>Riguardo alla richiesta di procedere ad una nuova perizia, occorre rilevare che l'autorità può terminare l'istruzione quando le prove acquisite le hanno permesso di formare il proprio convincimento, e che, procedendo ad una valutazione anticipata non arbitraria delle prove che le sono ancora proposte, ha la certezza che esse non sono suscettibili di farle cambiare opinione (DTF 136 I 229 consid. 5.3). In concreto, l'istruzione del caso è stata ampiamente completata e risulta essere esaustiva, tantoché l'esecuzione di una nuova perizia non appare di alcuna utilità, per cui anche questa richiesta del ricorrente deve essere respinta.</w:t>
      </w:r>
    </w:p>
    <w:p>
      <w:r>
        <w:rPr>
          <w:b/>
        </w:rPr>
        <w:t>E. 12</w:t>
      </w:r>
    </w:p>
    <w:p>
      <w:r>
        <w:t>Di conseguenza, il ricorso deve essere respinto e la decisione impugnata confermata.</w:t>
      </w:r>
    </w:p>
    <w:p>
      <w:r>
        <w:rPr>
          <w:b/>
        </w:rPr>
        <w:t>E. 13</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l'8 febbraio 2013.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