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C-2612/2006 vom 9. Juli 2008</w:t>
      </w:r>
    </w:p>
    <w:p>
      <w:r>
        <w:t>Bundesverwaltungsgericht, 2008-07-09, DE</w:t>
      </w:r>
    </w:p>
    <w:p>
      <w:r>
        <w:rPr>
          <w:b/>
        </w:rPr>
        <w:t xml:space="preserve">Quelle: </w:t>
      </w:r>
      <w:r>
        <w:t>https://mcp.opencaselaw.ch/entscheid/bvger_C-2612_2006</w:t>
      </w:r>
    </w:p>
    <w:p>
      <w:r>
        <w:t>FR: TAF C-2612/2006 du 9 juillet 2008</w:t>
      </w:r>
    </w:p>
    <w:p>
      <w:r>
        <w:t>IT: TAF C-2612/2006 del 9 luglio 2008</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 Das VwVG findet keine Anwendung in Sozialversicherungssachen, soweit das Bundesgesetz vom 6. Oktober 2000 über den Allgemeinen Teil des Sozialversicherungsrechts (ATSG; SR 830.1) anwendbar ist (Art. 3 Bst. dbis VwVG).</w:t>
      </w:r>
    </w:p>
    <w:p>
      <w:r>
        <w:rPr>
          <w:b/>
        </w:rPr>
        <w:t>E. 1.3</w:t>
      </w:r>
    </w:p>
    <w:p>
      <w:r>
        <w:t>Durch den angefochtenen Einspracheentscheid ist der Beschwerdeführer besonders berührt. Sein schutzwürdiges Interesse an dessen Änderung oder Aufhebung und damit seine Beschwerdelegitimation sind zu bejahen (Art. 59 ATSG; vgl. auch Art. 48 Abs. 1 VwVG).</w:t>
      </w:r>
    </w:p>
    <w:p>
      <w:r>
        <w:rPr>
          <w:b/>
        </w:rPr>
        <w:t>E. 1.4</w:t>
      </w:r>
    </w:p>
    <w:p>
      <w:r>
        <w:t>Der Beschwerdeführer hat fristgerecht Beschwerde erhoben (Art. 60 ATSG; vgl. auch Art. 50 VwVG). Indem er seine Beschwerde innert der gesetzten Nachfrist eigenhändig unterschrieben zurücksandte, sind auch die gesetzlichen Formvorschriften erfüllt (vgl. Art. 52 VwVG). Auf das ergriffene Rechtsmittel ist einzutreten.</w:t>
      </w:r>
    </w:p>
    <w:p>
      <w:r>
        <w:rPr>
          <w:b/>
        </w:rPr>
        <w:t>E. 2</w:t>
      </w:r>
    </w:p>
    <w:p>
      <w:r>
        <w:t>-:- Aufgrund der Beschwerdebegehren streitig und daher im Folgenden zu prüfen ist, ob die Vorinstanz zu Recht die Rente des Beschwerdeführers von einer halben auf eine Viertelsrente gekürzt hat.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ist Staatsangehöriger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Erw. 2.4). Daraus folgt, dass die Verwaltung und im Beschwerdefall das Gericht den Leistungsanspruch des Beschwerdeführers gemäss Art. 3 Abs. 1 der Koordinierungsverordnung (EWG) Nr. 1408/71 grundsätzlich nach den für schweizerische Staatsangehörige geltenden Regeln zu beurteilen haben.</w:t>
      </w:r>
    </w:p>
    <w:p>
      <w:r>
        <w:rPr>
          <w:b/>
        </w:rPr>
        <w:t>E. 2.2</w:t>
      </w:r>
    </w:p>
    <w:p>
      <w:r>
        <w:t>Die Frage, ob und gegebenenfalls ab wann Anspruch auf Leistungen der schweizerischen Invalidenversicherung besteht, bestimmt sich demnach allein aufgrund der schweizerischen Rechtsvorschriften. Für die Beurteilung eines Rentenanspruchs sind daher die Feststellungen eines ausländischen Versicherungsträgers bezüglich Invaliditätsgrad und Anspruchsbeginn für die rechtsanwendenden Behörden in der Schweiz nicht verbindlich (vgl. BGE 130 V 253 E. 2.4; AHI-Praxis 1996 S. 177 E. 1).</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 Dabei finden in for-mellrechtlicher Hinsicht nach den allgemeinen intertemporalrechtlichen Regeln grundsätzlich diejenigen Rechtssätze Anwendung, welche im Zeitpunkt der Beschwerdebeurteilung Geltung haben (BGE 130 V 1 E. 3.2).</w:t>
      </w:r>
    </w:p>
    <w:p>
      <w:r>
        <w:rPr>
          <w:b/>
        </w:rPr>
        <w:t>E. 2.4</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29. November 2005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2.5</w:t>
      </w:r>
    </w:p>
    <w:p>
      <w:r>
        <w:t>Nach der Rechtsprechung stellt das Sozialversicherungsgericht bei der Beurteilung einer Streitsache in der Regel auf den bis zum Zeitpunkt des Erlasses des streitigen Einspracheentscheides (hier: 29. November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muss sich der Versicherte anrechnen lassen (leidensangepasste Verweisungstätigkeit; ZAK 1986 S. 204 f.).</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 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der streitigen Revisionsverfügung (BGE 133 V 108 E. 5.4, BGE 125 V 369).</w:t>
      </w:r>
    </w:p>
    <w:p>
      <w:r>
        <w:rPr>
          <w:b/>
        </w:rPr>
        <w:t>E. 3.3</w:t>
      </w:r>
    </w:p>
    <w:p>
      <w:r>
        <w:t>Die anlässlich einer amtlichen Revision von der Vorinstanz verfügte Herabsetzung auf eine halbe Invalidenrente wurde vom EVG am 22. Februar 2000 bestätigt. In jenem Verfahren wurde die letzte umfassende materielle Prüfung des Rentenanspruchs des Beschwerdeführers vorgenommen, die in eine rechtskräftig gewordene Verfügung mündete. Entsprechend der Angabe der Vorinstanz in ihrem Einspracheentscheid ist demnach zu prüfen, ob sich der Gesundheitszustand des Beschwerdeführers bzw. dessen erwerbliche Auswirkungen in der Zeit zwischen dem 5. Januar 1998 (Zusprechung einer halben Rente mit umfassender materieller Prüfung des Rentenanspruchs) und dem 29. November 2005 (Datum des angefochtenen Einspracheentscheids) erheblich verändert haben.</w:t>
      </w:r>
    </w:p>
    <w:p>
      <w:r>
        <w:rPr>
          <w:b/>
        </w:rPr>
        <w:t>E. 4.1</w:t>
      </w:r>
    </w:p>
    <w:p>
      <w:r>
        <w:t>Der Beschwerdeführer macht in seiner Beschwerde geltend, sein Gesundheitszustand habe sich verschlechtert, seit er die Schweiz verlassen habe. Es sei für ihn nicht ersichtlich, wieso er nun wieder arbeiten können sollte, obwohl seine ärztlichen Zeugnisse beweisen würden, dass es ihm schlechter gehe. Es sei sicher, dass er nicht mehr arbeiten könne. In seinem Schreiben vom 20. Februar 2005 an die Vorinstanz äusserte er sich dahingehend, dass sein Invaliditätsgrad zwar auf 50% gesunken sei, ihm jedoch weiterhin eine halbe Rente zustehe.</w:t>
      </w:r>
    </w:p>
    <w:p>
      <w:r>
        <w:rPr>
          <w:b/>
        </w:rPr>
        <w:t>E. 4.2</w:t>
      </w:r>
    </w:p>
    <w:p>
      <w:r>
        <w:t>Die Akten enthalten namentlich folgende Arztberichte: - -:- - Im Gutachten vom 11. April 1997, auf welches die Vorinstanz, die Rekurskommission und das EVG im seinerzeitigen Revisionsverfahren abstellten, wurden beim Beschwerdeführer eine chronisch depressive Verstimmung bei einfach strukturierter Persönlichkeit und vermindertem Intellekt, Fussbeschwerden mit einer Funktionsstörung infolge einer Trümmerfraktur der rechten Ferse im November 1989 sowie leichte statische Wirbelsäulenbeschwerden diagnostiziert. Unter Berücksichtigung des orthopädischen und psychiatrischen Berichts sei der Beschwerdeführer als Zimmermannsgehilfe zu zwei Dritteln arbeitsunfähig, in vorwiegend sitzenden Verweisungstätigkeiten jedoch zu 50% arbeitsfähig (act. 84). Der IV-Stellenarzt Dr. med. D._______ schloss sich dieser Einschätzung am 21. Juli 1997 an (act. 85). - Dr. E._______ füllte am 2. Oktober 2000 das Formular CH/E20 aus. Er wies dabei insbesondere auf den unfallbedingten Schädigungen des Beschwerdeführers sowie die bestehenden orthopädischen und psychischen Gesundheitsschäden hin. In seiner zuletzt ausgeübten Erwerbstätigkeit sei er zu 100% arbeitsunfähig. Er sei jedoch in der Lage, angepasste Tätigkeiten auszuüben (act. 103). - Dr. B._______ beurteilte den Beschwerdeführer am 21. April 2004 mittels dem Formular CH/E20. In seinen Bemerkungen hielt er fest, dass der Beschwerdeführer über gelegentliche Schmerzen in beiden Fersen spreche, die ihn einschränkten. Er könne aber normal gehen. Es gebe Zeiten, in denen der Beschwerdeführer sehr nervös sei und an Schlafstörungen und Gemütsverstimmungen leide. Mit der psychiatrischen Behandlung verbessere sich dies aber. Der Arzt kam zum Schluss, dass der Beschwerdeführer in seiner angestammten Tätigkeit zu 100% arbeitsunfähig sei, jedoch in einer Verweistätigkeit (bspw. als Hauswart oder Parkplatzkassier) nur eine Erwerbsunfähigkeit von 20% bestehe (act. 126). - Dr. F._______, Psychiater, berichtete am 28. April 2004, dass der Beschwerdeführer u.a. stabilisiert und euthymisch sei, keine zusätzlichen Verhaltensmuster aufgetaucht seien und er über gute Kontakte verfüge (act. 138). - Der IV-Stellenarzt Dr. C.________ listete in seiner Beurteilung vom 15. November 2004 die Diagnosen Dysthymie, Fibromyalgie, posttraumatische subtalare Arthrose rechts, Zustand nach posttraumatischer Depression und beidseitiges Carpaltunnelsyndrom auf. Er hielt weiter fest, aus dem Bericht des Psychiaters, in welchem ein normaler Befund beschieden werde, könne gefolgert werden, dass dem Beschwerdeführer ein 70%-Pensum in einer angepassten Tätigkeit zumutbar sei. Diese Einschätzung entspreche durchaus dem erwarteten Verlauf. Denn im MEDAS-Gutachten aus dem Jahr 1997 habe die Beurteilung der Psyche eine überwiegende Rolle gespielt. Nun liege jedoch gemäss dem Bericht des Psychiaters ein explizit normaler Befund vor. Einziges Hindernis einer Arbeitsaufnahme seien invaliditätsfremde Faktoren wie Arbeitsentwöhnung und schwere Vermittelbarkeit (act. 128). - Dr. G._______, Orthopäde, hielt in seinem Bericht vom 5. April 2005 zusammenfassend fest, dass sich der Gesundheitszustand des Beschwerdeführers mit all den Behandlungen nicht verbessert habe. Trotz den medikamentösen und physiologischen Behandlungen sei die Bewegungsfähigkeit sogar bemerkenswert schlechter geworden (act. 139). - Dr. H._______, Psychiater, kam in seinem Bericht vom 11. April 2005 zum Schluss, dass bei fortgesetzter Therapie der psychische Gesundheitszustand des Beschwerdeführers als euthymisch, stabil und als psychopathologisch kompensiert zu bezeichnen sei (act. 137). - Im Bericht des chirurgischen Orthopädie- und Traumatologiedienstes des Spitals X._______ vom 19. Mai 2005 wurden die bekannten Diagnosen aufgeführt (act. 141). - Am 9. Juni 2005 beurteilte Dr. I._______ den Beschwerdeführer mittels Formular E213. Die Ärztin führte aus, dass der Beschwerdeführer eine Verweistätigkeit zu 100% ausüben könne (bspw. vor einem Bildschirm). Sie beobachtete weiter, dass die Hände des Beschwerdeführers starke Zeichen von Aktivität aufwiesen (act. 142). - Der IV-Stellenarzt Dr. C._______ beurteilte am 17. November 2005 alle neu eingereichten medizinischen Unterlagen, d.h. ein Arztzeugnis Psychiatrie vom 11. April 2005, ein Arztzeugnis Traumatologie vom 11. April 2005 bzw. 19. Mai 2005 sowie das Formular E213 vom 9. Juni 2005. Den bereits in seiner Stellungnahme vom 15. November 2004 aufgeführten Diagnosen fügte er nun noch eine Spondylarthrose der gesamten Wirbelsäule an. Diese moderate bis schwere Spondylarthrose ändere jedoch nichts, da es sich um einen radiologischen Befund ohne direkte Auswirkung auf leichte Arbeiten handle. Weiter verwies er auf die Angaben von Dr. med. I._______, welche er stützte. Der heutige Zustand sei mit dem MEDAS-Gutachten aus dem Jahr 1997 zu vergleichen (act. 84). Damals sei festgehalten worden, dass der Beschwerdeführer aufgrund seiner unbestrittenen Unfallfolgen am rechten Fuss in einer angepassten sitzenden Arbeit maximal 75% arbeitsfähig sei. Wegen der psychischen Verlangsamung im Rahmen der depressiven Entwicklung und der angeblich beschränkten intellektuellen Fähigkeiten sei er als 50% arbeitsfähig eingestuft worden; die "globale" Arbeitsunfähigkeit habe 50% betragen. Der IV-Stellenarzt folgerte daraus, dass dem Beschwerdeführer aufgrund der stabilen Verbesserung der psychischen Gesundheit trotz seines fortgeschrittenen Alters und seiner langen Absenz vom Arbeitsmarkt eine leichte Tätigkeit im Umfang von 70% zumutbar sei (act. 145).</w:t>
      </w:r>
    </w:p>
    <w:p>
      <w:r>
        <w:rPr>
          <w:b/>
        </w:rPr>
        <w:t>E. 4.3</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Der erhöhte Beweiswert umfasst allerdings nur medizinische Fragen, zu deren Beantwortung Ärzte im Sozialversicherungsverfahren beigezogen werden, nicht aber weitere Fragen wie z.B. die wirtschaftliche Beurteilung.</w:t>
      </w:r>
    </w:p>
    <w:p>
      <w:r>
        <w:rPr>
          <w:b/>
        </w:rPr>
        <w:t>E. 4.4</w:t>
      </w:r>
    </w:p>
    <w:p>
      <w:r>
        <w:t>Im vorliegenden Fall ist festzuhalten, dass eine genügende medizinische Dokumentation des Gesundheitszustandes des Beschwerdeführers vorliegt, welche es gestattet, eine zuverlässige Beurteilung des streitigen Rentenanspruches vorzunehmen. Die erstellten Arztberichte dokumentieren, dass seit der Verfügung der Vorinstanz vom 5. Januar 1998 und der am 12. Februar 2001 abgeschlossenen Revision die Diagnosen (Status nach Calcaneus-Trümmerfraktur, cervikale und lumbale Spondylarthrose sowie eine Fibromyalgie) für den Beschwerdeführer praktisch identisch sind oder (betreffend dem ängstlich-depressiven Zustandsbild) zwischenzeitlich sogar eine Verbesserung eingetreten ist. Daran ändert auch der vom Beschwerdeführer im vorliegenden Beschwerdeverfahren eingereichte Arztbericht vom 14. Juni 2006 nichts. Abgesehen davon, dass darin die bereits bekannten Diagnosen aufgeführt sind, bezieht sich dieser auf die Zeit nach dem Einspracheentscheid und kann hier deshalb nicht berücksichtigt werden (vgl. oben E. 2.5).</w:t>
      </w:r>
    </w:p>
    <w:p>
      <w:r>
        <w:rPr>
          <w:b/>
        </w:rPr>
        <w:t>E. 5</w:t>
      </w:r>
    </w:p>
    <w:p>
      <w:r>
        <w:t>Die Vorinstanz stützt ihre Begründung des Einspracheentscheids auf die verschiedenen Stellungnahmen des ärztlichen Dienstes vom 15. November 2004 und 17. November 2005, welche ihrerseits auf die den Akten zu entnehmenden Arztberichte verweisen.</w:t>
      </w:r>
    </w:p>
    <w:p>
      <w:r>
        <w:rPr>
          <w:b/>
        </w:rPr>
        <w:t>E. 5.1</w:t>
      </w:r>
    </w:p>
    <w:p>
      <w:r>
        <w:t>Die vorliegend entscheidende Einschätzung der Arbeits- und Erwerbsunfähigkeit des Beschwerdeführers wurde von Dr. C._______ vorgenommen. Seine Berichte entsprechen den Anforderungen der Rechtsprechung (vgl. oben E. 4.3) und berücksichtigen die relevanten spanischen Arztberichte aus dem hier massgebenden Vergleichszeitraum. Der IV-Stellenarzt prüfte in seinen Beurteilungen anhand der neu eingereichten medizinischen Unterlagen, ob neue Diagnosen vorlagen oder ob sich eine Verschlechterung oder Verbesserung des Gesundheitszustandes bei den bekannten Diagnosen einstellte. Der IV-Stellenarzt berücksichtigte in seiner Beurteilung demnach die vollständige Anamnese des Beschwerdeführers und alle aktuellen Arztberichte. Er kam jeweils zum Schluss, dass der Gesundheitszustand des Beschwerdeführers sich gegenüber der ursprünglichen Einschätzung der Erwerbsfähigkeit im Zusammenhang mit den psychischen Beschwer-den massgeblich verbessert habe. Das Gericht sieht keinen Grund, an deren klaren medizinischen Befunden zu zweifeln.</w:t>
      </w:r>
    </w:p>
    <w:p>
      <w:r>
        <w:rPr>
          <w:b/>
        </w:rPr>
        <w:t>E. 5.2</w:t>
      </w:r>
    </w:p>
    <w:p>
      <w:r>
        <w:t>Sowohl die spanischen Ärzte wie auch der IV-Stellenarzt sind sich in ihren Beurteilungen einig, dass der Beschwerdeführer in seiner angestammten Tätigkeit nicht mehr arbeitsfähig ist. Eine Erwerbsfähigkeit des Beschwerdeführers in einer Verweistätigkeit erachteten Dr. B._______ zu 80%, Dr. I._______ zu 100% und der IV-Stellenarzt Dr. C._______ zu 70% als gegeben. Dr. G._______, der eine Verschlechterung des Gesundheitszustands des Beschwerdeführers feststellte, führte in seinem Bericht nicht auf, in welchem Ausmass der Beschwerdeführer erwerbsunfähig sei. Er hielt lediglich fest, dass sich der Gesundheitszustand nicht gebessert und die Beweglichkeit verschlechtert habe. Die eingeschränkte Beweglichkeit des Beschwerdeführers wurde bei der Auswahl der möglichen Verweistätigkeiten (leichte Tätigkeit mit einfachen und repetitiven Handlungen) indes berücksichtigt.</w:t>
      </w:r>
    </w:p>
    <w:p>
      <w:r>
        <w:rPr>
          <w:b/>
        </w:rPr>
        <w:t>E. 5.3</w:t>
      </w:r>
    </w:p>
    <w:p>
      <w:r>
        <w:t>Gemäss dem Einkommensvergleich vom 28. Januar 2005 (act. 129) könnte der Beschwerdeführer in einer angepassten Verweistätigkeit ein monatliches Salär von CHF 4'516.65 erzielen. Davon ist aufgrund seines Alters und der gesundheitlichen Beeinträchtigungen ein Abzug von 20% vorzunehmen. Für eine 70%-Tätigkeit ergibt dies schliesslich ein Invalideneinkommen von CHF 2'529.30 pro Monat. Verglichen mit dem indexierten Valideneinkommen von CHF 4'742.90 ermittelte die Vorinstanz einen Invaliditätsgrad von knapp 47%. Dieser Einkommensvergleich ist vom Bundesverwaltungsgericht nicht zu beanstanden.</w:t>
      </w:r>
    </w:p>
    <w:p>
      <w:r>
        <w:rPr>
          <w:b/>
        </w:rPr>
        <w:t>E. 5.4</w:t>
      </w:r>
    </w:p>
    <w:p>
      <w:r>
        <w:t>Insgesamt kommt das Gericht deshalb zum Schluss, dass gemäss dem im Sozialversicherungsrecht massgeblichen Beweisgrad der überwiegenden Wahrscheinlichkeit (BGE 126 V 360 E. 5b) im hier interessierenden Zeitraum eine rentenrelevante Verbesserung des Gesundheitszustandes des Beschwerdeführers eingetreten ist. Bei einem Invaliditätsgrad von mehr als 40%, aber weniger als 50% ist dem Beschwerdeführer eine Viertelsrente auszurichten. Die im März 2005 verfügte Rentenanpassung hat ab dem zweiten der Zustellung der Verfügung folgenden Monat, mithin ab 1. Mai 2005 zu erfolgen (vgl. Art. 88bis Abs. 2 Bst. a der Verordnung vom 17. Januar 1961 über die Invalidenversicherung [IVV; SR 831.201]).</w:t>
      </w:r>
    </w:p>
    <w:p>
      <w:r>
        <w:rPr>
          <w:b/>
        </w:rPr>
        <w:t>E. 6</w:t>
      </w:r>
    </w:p>
    <w:p>
      <w:r>
        <w:t>Die von der Vorinstanz verfügte Herabsetzung der Invalidenrente auf eine Viertelsrente ab 1. Mai 2005 ist demnach nicht zu beanstanden. Die Beschwerde ist abzuweisen.</w:t>
      </w:r>
    </w:p>
    <w:p>
      <w:r>
        <w:rPr>
          <w:b/>
        </w:rPr>
        <w:t>E. 7</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8</w:t>
      </w:r>
    </w:p>
    <w:p>
      <w:r>
        <w:t>Dem unterliegenden Beschwerdeführer ist keine Parteientschädigung zuzusprechen (Art. 64 Abs. 1 VwVG und Art. 7 Abs. 1 des Reglements vom 21. Februar 2008 über die Kosten und Entschädigungen vor dem Bundesverwaltungsgericht [VGKE, SR 173.320.2] e contrario). Die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