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C-2610/2014 vom 3. September 2014</w:t>
      </w:r>
    </w:p>
    <w:p>
      <w:r>
        <w:t>Bundesverwaltungsgericht, 2014-09-03, DE</w:t>
      </w:r>
    </w:p>
    <w:p>
      <w:r>
        <w:rPr>
          <w:b/>
        </w:rPr>
        <w:t xml:space="preserve">Quelle: </w:t>
      </w:r>
      <w:r>
        <w:t>https://mcp.opencaselaw.ch/entscheid/bvger_C-2610_2014</w:t>
      </w:r>
    </w:p>
    <w:p>
      <w:r>
        <w:t>FR: TAF C-2610/2014 du 3 septembre 2014</w:t>
      </w:r>
    </w:p>
    <w:p>
      <w:r>
        <w:t>IT: TAF C-2610/2014 del 3 settembre 2014</w:t>
      </w:r>
    </w:p>
    <w:p>
      <w:pPr>
        <w:pStyle w:val="Heading2"/>
      </w:pPr>
      <w:r>
        <w:t>Regeste</w:t>
      </w:r>
    </w:p>
    <w:p>
      <w:r>
        <w:t>Einreiseverbot</w:t>
      </w:r>
    </w:p>
    <w:p>
      <w:pPr>
        <w:pStyle w:val="Heading2"/>
      </w:pPr>
      <w:r>
        <w:t>Erwägungen</w:t>
      </w:r>
    </w:p>
    <w:p>
      <w:r>
        <w:rPr>
          <w:b/>
        </w:rPr>
        <w:t>E. 1.1</w:t>
      </w:r>
    </w:p>
    <w:p>
      <w:r>
        <w:t>Gemäss Art. 31 VGG beurteilt das Bundesverwaltungsgericht - unter Vorbehalt der in Art. 32 VGG genannten Ausnahmen - Beschwerden gegen Verfügungen im Sinne von Art. 5 VwVG, die von einer in Art. 33 VGG aufgeführten Behörde erlassen wurden. Darunter fallen u.a. Verfügungen des BFM, welche ein Einreiseverbot beinhalten.</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Vorab ist auf die formelle Rüge einzugehen, wonach die angefochtene Verfügung wegen der fehlenden Unterschrift nichtig sei. Das Bundesverwaltungsgericht hat in einem Grundsatzentscheid festgehalten, dass Verfügungen betreffend Erlass eines Einreiseverbots auch ohne Unterschrift bundesrechtskonform sind (vgl. Urteil des BVGer C 2492/2008 vom 31. August 2009 E. 3.3, zuletzt bestätigt in C 956/2012 vom 7. Oktober 2013 E. 3.1). Es sind vorliegend keine Gründe ersichtlich, von dieser Rechtsprechung abzuweichen. Die Rüge ist demzufolge unbegründet.</w:t>
      </w:r>
    </w:p>
    <w:p>
      <w:r>
        <w:rPr>
          <w:b/>
        </w:rPr>
        <w:t>E. 4.1</w:t>
      </w:r>
    </w:p>
    <w:p>
      <w:r>
        <w:t>Gemäss Art. 67 Abs. 2 Bst. a AuG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4.2</w:t>
      </w:r>
    </w:p>
    <w:p>
      <w:r>
        <w:t>Wird gegen einen Drittstaatsangehörigen ein Einreiseverbot verhängt, so wird dies nach Massgabe der Bedeutung des Falles im Schengener Informationssystem (SIS) ausgeschrieben (vgl. Art. 3 Bst. d, Art. 21 und Art. 24 der SIS-II-Verordnung [Abl. L 381 vom 28. Dezember 2006, S. 4 - 23], in Kraft seit 9. April 2013 gemäss Beschluss des Rates 2013/158/EU vom 7. März 2013 [Abl. L 87 vom 27. März 2013, S. 10 - 11]). Damit wird dem Betroffenen grundsätzlich die Einreise in das Hoheitsgebiet aller Schengen-Mitgliedstaaten verboten (vgl. Art. 5 Abs. 1 Bst. d sowie Art. 13 Abs. 1 Schengener Grenzkodex [SGK, Abl. L 105 vom 13. April 2006, S. 1 - 32]). Die Mitgliedstaaten können der betroffenen Person aus wichtigen Gründen oder aufgrund internationaler Verpflichtungen die Einreise in das eigene Hoheitsgebiet gestatten bzw. ihr ein Visum mit räumlich beschränkter Gültigkeit ausstellen (vgl. Art. 13 Abs. 1 i.V.m. Art. 5 Abs. 4 Bst. c SGK; Art. 25 Abs. 1 Bst. a [ii] Visakodex, Abl. L 243 vom 15. September 2009).</w:t>
      </w:r>
    </w:p>
    <w:p>
      <w:r>
        <w:rPr>
          <w:b/>
        </w:rPr>
        <w:t>E. 4.3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Schweizer/Sutter/Wid­mer, in: Rainer J. Schweizer [Hrsg.], Sicherheits- und Ordnungsrecht des Bundes, SBVR Bd. III/1, Basel 2008, Teil B, Rz. 12 und 13 mit Hinweisen).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(Bst. a) oder wenn öffentlich-rechtliche oder privatrechtliche Verpflichtungen nicht erfüllt werden (Bst. b). Bestand ein solches Verhalten in der Vergangenheit, so wird die Gefahr entsprechender künftiger Störungen von Gesetzes wegen vermutet (vgl. Botschaft, a.a.O. S. 3760; vgl. Urteil des BVGer C 3213/2013 vom 31. Ja­nuar 2014 E. 3.2 mit Hinweisen).</w:t>
      </w:r>
    </w:p>
    <w:p>
      <w:r>
        <w:rPr>
          <w:b/>
        </w:rPr>
        <w:t>E. 5.1</w:t>
      </w:r>
    </w:p>
    <w:p>
      <w:r>
        <w:t>Die Vorinstanz stützt das Einreiseverbot in allgemeiner Weise auf Art. 67 AuG. Der Beschwerdeführer sei in der Schweiz mehrfach negativ in Erscheinung getreten (vgl. Sachverhalt Bst. A.c). Aufgrund dieser mehrfachen und schweren Verstösse bestehe eine erhebliche Gefährdung der öffentlichen Sicherheit und Ordnung, weshalb der Erlass eines längerfristigen Einreiseverbots angezeigt sei.</w:t>
      </w:r>
    </w:p>
    <w:p>
      <w:r>
        <w:rPr>
          <w:b/>
        </w:rPr>
        <w:t>E. 5.2</w:t>
      </w:r>
    </w:p>
    <w:p>
      <w:r>
        <w:t>Mit den der Verurteilung zu einer Freiheitsstrafe von 22 Monaten zugrunde liegenden Straftaten hat der Beschwerdeführer zweifellos wiederholt gegen die Rechtsordnung verstossen, so dass der Erlass einer Fernhaltemassnahme vom Grundsatz her gerechtfertigt ist (vgl. Art. 67 Abs. 2 Bst. a AuG i.V.m. Art. 80 Abs. 1 Bst. a VZAE). Auch die Missachtung der Ausreisefrist ist ein Grund für den Erlass eines Einreiseverbots (vgl. Art. 67 Abs. 1 Bst. b AuG).</w:t>
      </w:r>
    </w:p>
    <w:p>
      <w:r>
        <w:rPr>
          <w:b/>
        </w:rPr>
        <w:t>E. 5.3</w:t>
      </w:r>
    </w:p>
    <w:p>
      <w:r>
        <w:t>Der Beschwerdeführer bringt hiergegen vor, die Vorinstanz habe verkannt, dass ihm für einen Teil der Strafe der bedingte Strafvollzug gewährt worden sei. Die Strafrichter hätten sich, anders als die Vorinstanz, persönlich ein Bild von ihm machen können und seien überzeugt gewesen, dass der unbedingt ausgesprochene Teil der Strafe Warnung genug sein würde, damit er nicht rückfällig werde. Auch aufgrund der Strafhöhe rechtfertige sich der Erlass eines Einreiseverbots nicht. Die Einwände des Beschwerdeführers vermögen nichts daran zu ändern, dass der Erlass einer Fernhaltemassnahme vom Grundsatz her gerechtfertigt ist. Insbesondere kommt es dabei nicht darauf an, ob der Vollzug (teilweise) aufgeschoben ist (vgl. BGE 135 II 377 E. 4.2; Urteil des BGer 2C_733/2012 vom 24. Januar 2013 E. 6.3 mit Hinweisen). Dieser Aspekt ist allerdings bei der zu stellenden Prognose zu beachten (vgl. BVGE 2013/4 E. 5.2).</w:t>
      </w:r>
    </w:p>
    <w:p>
      <w:r>
        <w:rPr>
          <w:b/>
        </w:rPr>
        <w:t>E. 6.1</w:t>
      </w:r>
    </w:p>
    <w:p>
      <w:r>
        <w:t>Ist der Erlass einer Fernhaltemassnahme vom Grundsatz her gerechtfertigt, so bleibt zu prüfen, ob sie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verletzen oder gefährdeten Rechtsgüter, die Besonderheiten des ordnungswidrigen Verhaltens und die persönlichen Verhältnisse des Verfügungsadressaten bilden dabei den Ausgangspunkt der Überlegungen (vgl. BVGE 2013/4 E. 7.1 mit Hinweis).</w:t>
      </w:r>
    </w:p>
    <w:p>
      <w:r>
        <w:rPr>
          <w:b/>
        </w:rPr>
        <w:t>E. 6.2</w:t>
      </w:r>
    </w:p>
    <w:p>
      <w:r>
        <w:t>Das öffentliche Interesse an einer Fernhaltung des Beschwerdeführers ist nur schon aus präventivpolizeilicher Sicht als gewichtig einzustufen. Ausländische Personen, die während ihres Aufenthalts in der Schweiz schwerwiegende Delikte begehen, sollen für eine längere Zeit von der Schweiz ferngehalten werden. Dies gilt nicht nur für Delikte gegen die körperliche und psychische Integrität, sondern auch für solche gegen das Vermögen. Nach Feststellung des Obergerichts des Kantons Zürich im Urteil vom 31. Oktober 2011 ist das Verschulden des Beschwerdeführers als erheblich einzuschätzen, da er die Delikte aus rein egoistischen Motiven und mit erheblicher krimineller Energie rücksichtslos begangen hat. Straferhöhend wirkte sich auch aus, dass er unmittelbar nach seiner Verurteilung vom 22. Mai 2008 wieder zu delinquieren begann (vgl. E. 4.3 - 4.4 des Urteils). Insgesamt kam der Strafrichter zu einer "recht getrübten Legalprognose", was dazu führte, dass lediglich die Hälfte der ausgefällten Strafe bedingt aufgeschoben wurde (vgl. E. 5.6 des Urteils). Kurz nach dieser Verurteilung wurde der Beschwerdeführer erneut straffällig (vgl. Urteil des Obergerichts des Kantons Zürich vom 29. Oktober 2013 E. 3.2.2), indem er seine Ehefrau mehrfach erheblich bedrohte. Dem Beschwerdeführer wurde in subjektiver Hinsicht vorgeworfen, er habe die Drohungen aus rein egoistischen und rachsüchtigen Motiven ausgesprochen. Zu seinen Gunsten wurde berücksichtigt, dass die Tat spontan erfolgt war. Straferhöhend wirkte sich aus, dass dem Urteil des Bezirksgerichts Zürich vom 22. Mai 2008 ähnliche Delikte zum Nachteil seiner Ehefrau zugrunde lagen, dass das Urteil vom 31. Oktober 2011 erst kurze Zeit zurücklag und dass er die Delikte beging, obwohl noch zwei Probezeiten liefen (vgl. E. 3.1 und E. 3.2.2 des Urteils). Aufgrund dieses Verhaltens des Beschwerdeführers ist von einer erheblichen Gefahr auch zukünftiger Verletzungen der öffentlichen Sicherheit und Ordnung auszugehen. Das sich hieraus ergebende gewichtige öffentliche Interesse rechtfertigt die von der Vorinstanz verfügte Fernhaltung von fünf Jahren.</w:t>
      </w:r>
    </w:p>
    <w:p>
      <w:r>
        <w:rPr>
          <w:b/>
        </w:rPr>
        <w:t>E. 6.3</w:t>
      </w:r>
    </w:p>
    <w:p>
      <w:r>
        <w:t>Bezüglich des persönlichen Interesses an ungehinderten Einreisen in die Schweiz und entsprechenden (Besuchs-)Aufenthalten beruft sich der Beschwerdeführer auf die Beziehung zu dem 2009 geborenen Sohn. Mit ihm und dessen Mutter habe er bis zu seiner Inhaftierung zusammengelebt. Das Kind sei auf die Beziehung angewiesen, daher solle von einem Einreiseverbot abgesehen werden. Aus den Akten ergibt sich, dass der Beschwerdeführer bis zum November 2011 nur wenig Kontakt mit seinem Kind hatte. Danach lebte er in Haushaltsgemeinschaft mit seinem Sohn und dessen Mutter, bis er am 23. August 2012 inhaftiert wurde. Was die Dauer der Haft anbelangt, so gibt es Hinweise darauf, dass er ununterbrochen bis zum 17. Februar 2014 unter verschiedenen Titeln (Untersuchungs- und Sicherheitshaft bzw. Strafvollzug) inhaftiert war (vgl. Beschwerdeschriften vom 27. Dezember 2012 ans Verwaltungsgericht des Kantons Zürich und vom 27. August 2013 ans Bundesgericht, beide betr. Aufenthaltsverfahren, sowie Vollzugsauftrag des Amts für Justizvollzug des Kantons Zürich vom 29. Januar 2014). Während dieser Zeit konnte die Beziehung nur im Rahmen von Besuchen gepflegt werden. Laut Angaben der Kindsmutter in einem Schreiben ans Verwaltungsgericht des Kantons Zürich vom 23. Januar 2012 (recte: 2013) hat sie mit ihrem Sohn den Beschwerdeführer seit seiner Inhaftierung zweimal besucht; häufigere Besuche seien aufgrund der Entfernung nicht möglich gewesen. Allein hieraus lässt sich ablesen, dass die Beziehung zwischen Vater und Sohn nicht besonders eng gewesen sein kann. Richtig kennengelernt haben sich die beiden, als der Sohn knapp zwei Jahre alt war. Die Familiengemeinschaft dauerte dann 1 ¾ Jahre, bevor sie durch die Inhaftierung des Beschwerdeführers wieder aufgelöst wurde. In der Zeit der Inhaftierung kam es nur zu wenigen Kontakten. Nach der Entlassung aus der Haft im Februar 2014 kehrte der Beschwerdeführer nicht in die Familiengemeinschaft zurück (vgl. Aufenthaltsnachforschung der Stadtpolizei Zürich vom 20. Juni 2014), obwohl er seiner Ausreiseverpflichtung offenbar nicht nachgekommen ist. Die vom Beschwerdeführer als privates Interesse geltend gemachte Beziehung zu seinem ausserehelichen Sohn kann demnach nicht als besonders gewichtig angesehen werden. Sie hat insgesamt nicht einmal zwei Jahre gedauert und wurde nach der durch den Gefängnisaufenthalt bedingten Trennung nicht wieder aufgenommen. Weitere Aspekte, die auf ein gewichtiges privates Interesse an der ungehinderten Einreise des Beschwerdeführers schliessen lassen könnten, werden nicht geltend gemacht. Insbesondere beruft sich der Beschwerdeführer ausdrücklich nicht auf eine Beziehung zu seinen vier ehelichen Kindern.</w:t>
      </w:r>
    </w:p>
    <w:p>
      <w:r>
        <w:rPr>
          <w:b/>
        </w:rPr>
        <w:t>E. 6.4</w:t>
      </w:r>
    </w:p>
    <w:p>
      <w:r>
        <w:t>Eine wertende Gewichtung der sich entgegenstehenden Interessen führt damit zum Schluss, dass das Einreiseverbot dem Grundsatz und der Dauer nach zu bestätigen ist. Gemäss Art. 24 Abs. 2 und Abs. 3 SIS-II-Verordnung sind auch die Voraussetzungen für die Ausschreibung zur Einreiseverweigerung im SIS gegeben.</w:t>
      </w:r>
    </w:p>
    <w:p>
      <w:r>
        <w:rPr>
          <w:b/>
        </w:rPr>
        <w:t>E. 7</w:t>
      </w:r>
    </w:p>
    <w:p>
      <w:r>
        <w:t>Aus diesen Erwägungen folgt, dass die angefochtene Verfügung vor dem Hintergrund von Art. 49 VwVG nicht zu beanstanden ist. Die Beschwerde ist demzufolge abzuweisen.</w:t>
      </w:r>
    </w:p>
    <w:p>
      <w:r>
        <w:rPr>
          <w:b/>
        </w:rPr>
        <w:t>E. 8</w:t>
      </w:r>
    </w:p>
    <w:p>
      <w:r>
        <w:t>Bei diesem Ausgang des Verfahrens sind die Kosten dem Beschwerdeführer aufzuerlegen (vgl. Art. 63 Abs. 1 VwVG, Art. 1 ff.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