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C-2607/2013 vom 27. Mai 2013</w:t>
      </w:r>
    </w:p>
    <w:p>
      <w:r>
        <w:t>Bundesverwaltungsgericht, 2013-05-27, IT</w:t>
      </w:r>
    </w:p>
    <w:p>
      <w:r>
        <w:rPr>
          <w:b/>
        </w:rPr>
        <w:t xml:space="preserve">Quelle: </w:t>
      </w:r>
      <w:r>
        <w:t>https://mcp.opencaselaw.ch/entscheid/bvger_C-2607_2013</w:t>
      </w:r>
    </w:p>
    <w:p>
      <w:r>
        <w:t>FR: TAF C-2607/2013 du 27 mai 2013</w:t>
      </w:r>
    </w:p>
    <w:p>
      <w:r>
        <w:t>IT: TAF C-2607/2013 del 27 maggio 2013</w:t>
      </w:r>
    </w:p>
    <w:p>
      <w:pPr>
        <w:pStyle w:val="Heading2"/>
      </w:pPr>
      <w:r>
        <w:t>Regeste</w:t>
      </w:r>
    </w:p>
    <w:p>
      <w:r>
        <w:t>Contributi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Peraltro, il 1° aprile 2012 sono entrati in vigore, nei rapporti tra la Svizzera e gli Stati membri dell'Unione Europea, i nuovi Regolamenti (CE) n. 883/2004 e n. 987/2009 relativi al coordinamento dei sistemi di sicurezza sociale, regolamenti che sostituiscono a partire da tale date i Regolamenti (CEE) n. 1408/71 e (CEE) n. 574/72, fermo restando che sono di principio applicabili i regolamenti in vigore al momento della realizzazione dei fatti determinanti.</w:t>
      </w:r>
    </w:p>
    <w:p>
      <w:r>
        <w:rPr>
          <w:b/>
        </w:rPr>
        <w:t>E. 3</w:t>
      </w:r>
    </w:p>
    <w:p>
      <w:r>
        <w:t>L'oggetto litigioso nella presente procedura ricorsuale è costituito dalla questione di sapere se il calcolo dell'importo mensile della rendita di vecchiaia effettuato dall'autorità inferiore sia, o meno, corretto.</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di principio applicabile alla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LAVS). Peraltro, ai sensi dell'art. 30bis LAVS e dell'art. 53 cpv. 1 dell'ordinanza del 31 ottobre 1947 sull'assicurazione per la vecchiaia e i superstiti (OAVS, RS 831.101), per il calcolo delle rendite, l'Ufficio federale delle assicurazioni sociali allestisce tavole delle rendite il cui uso è obbligatorio.</w:t>
      </w:r>
    </w:p>
    <w:p>
      <w:r>
        <w:rPr>
          <w:b/>
        </w:rPr>
        <w:t>E. 4.3.1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Tribunale federale H 133/06 del 25 settembre 2007 nonché I 524/02 del 25 novembre 2002 e relativi riferimenti). In effetti, per il periodo anteriore al 1° gennaio 1969, i conti individuali non comprendono l'indicazione della durata contributiva in mesi.</w:t>
      </w:r>
    </w:p>
    <w:p>
      <w:r>
        <w:rPr>
          <w:b/>
        </w:rPr>
        <w:t>E. 4.3.4</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Tribunale federale I 524/02 del 25 novembre 2002 consid. 2.3 e relativi riferimenti).</w:t>
      </w:r>
    </w:p>
    <w:p>
      <w:r>
        <w:rPr>
          <w:b/>
        </w:rPr>
        <w:t>E. 4.3.5</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4.3.6</w:t>
      </w:r>
    </w:p>
    <w:p>
      <w:r>
        <w:t>Per quanto attiene al periodo contributivo in Svizzera per l'anno 1966, per l'anno 1967 e per l'anno 1968, tenuto conto del fatto che l'insorgente è stato posto al beneficio di un permesso per stagionali di tipo A rilasciato dalla competente autorità del Cantone B._______ rispettivamente il 22 marzo 1966 (e valido sino al 18 dicembre 1966), il 7 febbraio 1967 (e valido sino al 18 dicembre 1967) ed il 28 febbraio 1968 (e valido sino al 21 dicembre 1968; doc. 28 pag. 13 a 15), lo stesso deve essere determinato sulla base delle iscrizioni figuranti sugli estratti del conto individuale della Cassa svizzera di compensazione (doc. 15 e 16) e sulla base delle "Tabelle per la determinazione della durata di contribuzione presumibile negli anni 1948-1968". In particolare, come indicato dall'autorità inferiore (v. doc. 48 pag. 2 e 3), il reddito di fr. 10'700.-- ottenuto nel 1966 corrisponde ad un periodo contributivo di 10 mesi, il reddito di fr. 13'825.-- ottenuto nel 1967 corrisponde ad un periodo contributivo di 12 mesi ed il reddito di fr. 13'800.-- ottenuto nel 1968 corrisponde ad un periodo contributivo di 12 mesi, giusta la tavola n. 41 (recte n. 37 [settore della costruzione]) delle tabelle per la determinazione della durata presumibile di contribuzione. Quanto al periodo contributivo per il 1969 ed il 1970, l'autorità inferiore ha considerato, in virtù degli estratti del conto individuale della Cassa svizzera di compensazione e della Cassa di compensazione del Cantone B._______ (doc. 15 e 46), non sussistendo i presupposti per l'espletamento d'ulteriori indagini d'ufficio, che l'insorgente ha pagato i contributi AVS da febbraio a dicembre del 1969 nonché da aprile a giugno del 1970.</w:t>
      </w:r>
    </w:p>
    <w:p>
      <w:r>
        <w:rPr>
          <w:b/>
        </w:rPr>
        <w:t>E. 4.3.7</w:t>
      </w:r>
    </w:p>
    <w:p>
      <w:r>
        <w:t>L'autorità inferiore ha quindi infine correttamente ritenuto nella decisione impugnata che il periodo contributivo dell'insorgente è di 4 anni (e non di 3 anni e 9 mesi), ritenuto altresì che il ricorrente non ha contestato tale periodo contributivo in sede ricorsuale e che agli atti di causa non vi sono documenti che possano dimostrare l'erroneità di tale periodo contribuito. Quest'ultimo è peraltro incompleto, gli assicurati della classe di età del ricorrente (anno 1947) avendo in effetti contribuito per un periodo massimo di 44 anni fino al 2012 (Tabelle delle rendite 2011 pag. 8), anno in cui è nato il diritto dell'insorgente ad una rendita dell'assicurazione svizzera per la vecchiaia.</w:t>
      </w:r>
    </w:p>
    <w:p>
      <w:r>
        <w:rPr>
          <w:b/>
        </w:rPr>
        <w:t>E. 4.4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4 anni completi. Le tabelle delle rendite 2011 prevedono che al rapporto fra i 4 anni interi di contribuzione dell'insorgente ed i 44 anni di contribuzione degli assicurati della sua classe di età è applicabile la scala delle rendite 4 (Tabelle delle rendite 2011 pag. 10). L'importo della rendita dell'insorgente deve quindi essere determinato in base ad una scala delle rendite 4 ed in funzione del suo reddito annuo medio.</w:t>
      </w:r>
    </w:p>
    <w:p>
      <w:r>
        <w:rPr>
          <w:b/>
        </w:rPr>
        <w:t>E. 4.5</w:t>
      </w:r>
    </w:p>
    <w:p>
      <w:r>
        <w:t>Giova rilevare che 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4.5.1</w:t>
      </w:r>
    </w:p>
    <w:p>
      <w:r>
        <w:t>Secondo gli estratti del conto individuale dell'interessato, i redditi derivanti da un'attività lucrativa conseguiti dal ricorrente negli anni dal 1966 al 1970 ammontano a fr. 59'229.-- (10'700 + 13'825 + 13'800 + 16'759 + 4'145; doc. 15, 16 e 46). Quest'importo deve essere rivalutato in funzione dell'indice delle rendite. Tenuto conto del fatto che la prima iscrizione nel conto individuale posteriore all'anno del compimento dei 20 anni è avvenuta nel 1968 (cfr., sulla questione, la sentenza del Tribunale amministrativo federale C-4924/2008 del 27 aprile 2009 consid. 3.1 e 3.2), il fattore di rivalutazione è pari a 1.281 (Tabelle delle rendite 2013 pag. 15). L'importo del reddito è rivalutato a fr. 75'873.-- (59'229 x 1.281). Tale importo deve essere diviso per il periodo di contribuzione di 4 anni, corrispondenti a 48 mesi. Il reddito annuo medio del ricorrente per il 2012 ammonta a fr. 18'968.-- ([75'873 : 48] x 12).</w:t>
      </w:r>
    </w:p>
    <w:p>
      <w:r>
        <w:rPr>
          <w:b/>
        </w:rPr>
        <w:t>E. 4.5.2</w:t>
      </w:r>
    </w:p>
    <w:p>
      <w:r>
        <w:t>L'importo di fr. 18'968.-- deve essere arrotondato all'importo immediatamente superiore del reddito annuo medio determinante indicato nelle tabelle secondo la scala delle rendite 4. L'autorità inferiore ha considerato un reddito annuo medio determinante di fr. 19'488.-- nel 2012 (le tabelle delle rendite 2011 indicano un reddito annuo medio determinante di fr. 19'488.-- quale importo superiore più vicino ad un reddito annuo medio di fr. 18'968.-- [Tabelle delle rendite 2011 pag. 98]) e di fr. 19'656.-- nel 2013 (le tabelle delle rendite 2013 indicano un reddito annuo medio determinante di fr. 19'656.-- quale importo superiore più vicino ad un reddito annuo medio di fr. 18'968.-- [Tabelle delle rendite 2013 pag. 98]). Le tabelle delle rendite 2011 prevedono che la rendita d'invalidità mensile corrispondente ad una scala delle rendite 4 ed un reddito annuo medio di fr. 19'488.-- ammonta a fr. 116.-- (Tabelle delle rendite 2011 pag. 98) e le tabelle delle rendite 2013 prevedono che la rendita d'invalidità mensile corrispondente ad una scala delle rendite 4 ed un reddito annuo medio di fr. 19'656.-- ammonta a fr. 117.-- (Tabelle delle rendite 2013 pag. 98).</w:t>
      </w:r>
    </w:p>
    <w:p>
      <w:r>
        <w:rPr>
          <w:b/>
        </w:rPr>
        <w:t>E. 4.5.3</w:t>
      </w:r>
    </w:p>
    <w:p>
      <w:r>
        <w:t>Il ricorrente ha pertanto diritto a una rendita di vecchiaia di un importo mensile di fr. 116.-- dal 1° febbraio 2012 e di fr. 117.-- dal 1° gennaio 2013, come calcolato dall'autorità inferiore (v. doc. 51 e 48).</w:t>
      </w:r>
    </w:p>
    <w:p>
      <w:r>
        <w:rPr>
          <w:b/>
        </w:rPr>
        <w:t>E. 4.5.4</w:t>
      </w:r>
    </w:p>
    <w:p>
      <w:r>
        <w:t>Per il resto, questo Tribunale rileva che il ricorrente non ha comunque contestato gli elementi del calcolo della rendita (periodo contributivo, reddito annuo medio determinante, scala delle rendite) come effettuato dall'autorità inferiore, calcolo dal quale il Tribunale amministrativo federale non ha pertanto motivo, sulla base delle risultanze processuali, di scostarsi d'ufficio.</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