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C-2605/2025 vom 27. November 2025</w:t>
      </w:r>
    </w:p>
    <w:p>
      <w:r>
        <w:t>Bundesverwaltungsgericht, 2025-11-27, DE</w:t>
      </w:r>
    </w:p>
    <w:p>
      <w:r>
        <w:rPr>
          <w:b/>
        </w:rPr>
        <w:t xml:space="preserve">Quelle: </w:t>
      </w:r>
      <w:r>
        <w:t>https://mcp.opencaselaw.ch/entscheid/bvger_C-2605_2025</w:t>
      </w:r>
    </w:p>
    <w:p>
      <w:r>
        <w:t>FR: TAF C-2605/2025 du 27 novembre 2025</w:t>
      </w:r>
    </w:p>
    <w:p>
      <w:r>
        <w:t>IT: TAF C-2605/2025 del 27 novembre 2025</w:t>
      </w:r>
    </w:p>
    <w:p>
      <w:pPr>
        <w:pStyle w:val="Heading2"/>
      </w:pPr>
      <w:r>
        <w:t>Regeste</w:t>
      </w:r>
    </w:p>
    <w:p>
      <w:r>
        <w:t>Rente</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Die Vorinstanz wird verpflichtet, der Beschwerdeführerin eine Parteientschädigung von Fr. 2'000.- zu bezahlen.</w:t>
      </w:r>
    </w:p>
    <w:p>
      <w:r>
        <w:rPr>
          <w:b/>
        </w:rPr>
        <w:t>E. 4</w:t>
      </w:r>
    </w:p>
    <w:p>
      <w:r>
        <w:t>Dieser Entscheid geht an die Beschwerdeführerin, die Vorinstanz und das Bundesamt für Sozialversicherungen. Der Einzelrichter: Die Gerichtsschreiberin: Philipp Egli Andrea Meier (Die Rechtsmittelbelehrung folgt auf der nächsten Seite.)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