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C-2601/2016 vom 15. Dezember 2017</w:t>
      </w:r>
    </w:p>
    <w:p>
      <w:r>
        <w:t>Bundesverwaltungsgericht, 2017-12-15, DE</w:t>
      </w:r>
    </w:p>
    <w:p>
      <w:r>
        <w:rPr>
          <w:b/>
        </w:rPr>
        <w:t xml:space="preserve">Quelle: </w:t>
      </w:r>
      <w:r>
        <w:t>https://mcp.opencaselaw.ch/entscheid/bvger_C-2601_2016</w:t>
      </w:r>
    </w:p>
    <w:p>
      <w:r>
        <w:t>FR: TAF C-2601/2016 du 15 décembre 2017</w:t>
      </w:r>
    </w:p>
    <w:p>
      <w:r>
        <w:t>IT: TAF C-2601/2016 del 15 dicembre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w:t>
      </w:r>
    </w:p>
    <w:p>
      <w:r>
        <w:rPr>
          <w:b/>
        </w:rPr>
        <w:t>E. 1.2</w:t>
      </w:r>
    </w:p>
    <w:p>
      <w:r>
        <w:t>Anfechtungsobjekt ist vorliegend der Einspracheentscheid der Vorinstanz vom 11. März 2016, in welchem sie ihre Verfügung vom 1. Oktober 2015 bezüglich Neueinreihung der Beschwerdeführerin in den Prämientarif bestätigt hat. Somit ist das Bundesverwaltungsgericht für die Beurteilung der Streitsache zuständig.</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Die Beschwerdeführerin hat am vorinstanzlichen Verfahren teilgenom-men, ist als Adressatin durch den angefochtenen Einspracheentscheid in besonderer Weise berührt und hat an deren Aufhebung oder Änderung ein schutzwürdiges Interesse (Art. 48 Abs. 1 VwVG; vgl. auch Art. 59 ATSG). Sie ist zur Beschwerde legitimiert.</w:t>
      </w:r>
    </w:p>
    <w:p>
      <w:r>
        <w:rPr>
          <w:b/>
        </w:rPr>
        <w:t>E. 1.5</w:t>
      </w:r>
    </w:p>
    <w:p>
      <w:r>
        <w:t>Die Beschwerde wurde frist- und formgerecht eingereicht. Da auch der Kostenvorschuss von Fr. 2'000.- rechtzeitig bezahlt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Soweit die Beschwerdeführerin rügt, der Tarif bzw. die Konzeption des Tarifs als Ganzes sei rechtswidrig, so ist darauf hinzuweisen, dass das Gericht keine generell-abstrakte Normenkontrolle vornimmt, sondern nur die Rechtmässigkeit des angefochtenen Einspracheentscheides im konkreten Fall prüft.</w:t>
      </w:r>
    </w:p>
    <w:p>
      <w:r>
        <w:rPr>
          <w:b/>
        </w:rPr>
        <w:t>E. 2.4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2.5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sind die zu beachtenden wichtigsten gesetzlichen Bestimmungen, massgebenden Grundsätze sowie die hier massgeblichen Bestimmungen des Suva-Tarifs (Ausgabe 2016)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3.3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3.5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3.7</w:t>
      </w:r>
    </w:p>
    <w:p>
      <w:r>
        <w:t>Als Risikoeinheit gelten laut dem ab dem 1. Januar 2016 gültigen Suva-Tarif 2016 (Reglement des Verwaltungsrats der Suva vom 14. November 2008 betreffend die Einreihungsregeln zur Prämienbemessung in der obligatorischen Unfallversicherung [B-act. 6 Beilage B]) Betriebe, Betriebsteile und Prämienkonzerne (Art. 7 Abs. 1). Die Prämienbemessung erfolgt für jede Risikoeinheit separat (Art. 7 Abs. 2). Die Risikogemeinschaften der BUV bestehen bei der Suva aus Klassen, Unterklassen und Unterklassenteilen (Art. 13 Abs. 1 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Tarif).</w:t>
      </w:r>
    </w:p>
    <w:p>
      <w:r>
        <w:rPr>
          <w:b/>
        </w:rPr>
        <w:t>E. 3.8</w:t>
      </w:r>
    </w:p>
    <w:p>
      <w:r>
        <w:t>Laut Art. 18 Abs. 1 des Tarifs wird jeder bei der Suva versicherte Betrieb oder Betriebsteil einer Risikogemeinschaft zugeteilt. Ausschlaggebend für die Zuteilung zu den Risikogemeinschaften sind die Betriebsmerkmale, wobei die administrativen Tätigkeiten nicht berücksichtigt werden. Laut Art. 18 Abs. 2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Laut Art. 18 Abs. 3 wird zur Erhebung der Betriebsmerkmale eine Betriebsbeschreibung aufgenommen.</w:t>
      </w:r>
    </w:p>
    <w:p>
      <w:r>
        <w:rPr>
          <w:b/>
        </w:rPr>
        <w:t>E. 4</w:t>
      </w:r>
    </w:p>
    <w:p>
      <w:r>
        <w:t>Der Beschwerdeführer rügt, die Vorinstanz habe in zweierlei Hinsicht ihre Begründungspflicht als Teilgehalt des rechtlichen Gehörs verletzt. Sie habe sich einerseits nicht zur fundamentalen Kritik an der Konzeption des Prämientarifs geäussert. Andererseits seien die Berechnungsgrundlagen der Vorinstanz für die Prämienerhöhung nicht nachvollziehbar. Nachfolgend ist zu prüfen, ob die Vorinstanz dieses Grundrecht verletzt hat.</w:t>
      </w:r>
    </w:p>
    <w:p>
      <w:r>
        <w:rPr>
          <w:b/>
        </w:rPr>
        <w:t>E. 4.1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 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des BVGer C-532/2009 vom 20. August 2012 E. 3.5.2 mit Hinweis auf BVGE 2007/27 E. 9.3). Dies hat umso mehr zu gelten, wenn der Betroffene - wie vorliegend - eine nachvollziehbare Begründung verlangt hat und er den Unfallversicherer nicht frei wechseln kann und darf.</w:t>
      </w:r>
    </w:p>
    <w:p>
      <w:r>
        <w:rPr>
          <w:b/>
        </w:rPr>
        <w:t>E. 4.2</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5.1</w:t>
      </w:r>
    </w:p>
    <w:p>
      <w:r>
        <w:t>Zunächst rügt die Beschwerdeführerin, die Vorinstanz habe sich im Einspracheentscheid nicht zu ihrer fundamentalen Kritik an der rechtsfehlerhaften Konzeption des Tarifs durch die Nichtberücksichtigung von administrativen Arbeiten bei der Zuteilung geäussert, weshalb schon allein aus diesem Grund eine mangelhafte Begründung des Einspracheentscheids und damit eine Verletzung des rechtlichen Gehörs vorliege.</w:t>
      </w:r>
    </w:p>
    <w:p>
      <w:r>
        <w:rPr>
          <w:b/>
        </w:rPr>
        <w:t>E. 5.2</w:t>
      </w:r>
    </w:p>
    <w:p>
      <w:r>
        <w:t>In ihrer Einsprache vom 25. Januar 2016 (doc. 108) hat die Beschwerdeführerin keine fundamentale Kritik an der Konzeption des Tarifs (Nichtberücksichtigung von administrativen Arbeiten) geäussert, wie dies die Vorinstanz zu Recht feststellt (B-act. 6 S. 5). Schon allein deshalb ist die Rüge, die Vorinstanz habe das rechtliche Gehör durch eine mangelhafte Begründung in Bezug auf die Gesamtkonzeption des Tarifs im Einspracheentscheid verletzt, nicht berechtigt. Die Vorinstanz hat zudem bereits in ihrer Verfügung dargelegt, dass die neuen Einreihungsregeln zu einer Vereinfachung und zu einer Verbesserung der Risikogerechtigkeit führen sollen und dass administrative Tätigkeiten laut neuem Tarif nicht mehr als Risikomerkmal berücksichtigt würden (vgl. doc. 107 S. 5). In ihrem Einspracheentscheid hat sie die Begründung für die Neukonzeption ergänzt und ausgeführt, dass Betriebsmerkmale, welche für die Zuteilung zur Risikogemeinschaft nicht berücksichtigt würden, jedoch den in Anhang 5 des Prämientarifs angegebenen Anteil an der Gesamtlohnsumme überschreiten, bei der Prämienkalkulation prämiensenkend berücksichtigt würden. Dies werde - unter Hinweis auf Art. 24 Abs. 1bis und 1ter des Prämientarifs - als besondere Betriebsmerkmale bezeichnet (doc. 113 S. 1-3). Ob die Begründung der Vorinstanz für die Neukonzeption überzeugend ist und ob die Neukonzeption des Tarifs vorliegend konkret zu einer nicht rechtskonformen Einreihung geführt hat, ist eine Frage des materiellen Rechts und nicht eine Frage des rechtlichen Gehörs. Die Begründung ist nachvollziehbar. Im Hinblick auf die Rüge der rechtsfehlerhaften Konzeption des neuen Tarifs hätte die Vorinstanz auch aus diesem Grund das rechtliche Gehör der Beschwerdeführerin nicht verletzt.</w:t>
      </w:r>
    </w:p>
    <w:p>
      <w:r>
        <w:rPr>
          <w:b/>
        </w:rPr>
        <w:t>E. 6.1</w:t>
      </w:r>
    </w:p>
    <w:p>
      <w:r>
        <w:t>Die Beschwerdeführerin rügt weiter, die Berechnungsgrundlagen in Bezug auf die hier zu beurteilende Zuteilung der Beschwerdeführerin seien mangels genügender Begründung ebenfalls nicht nachvollziehbar, weshalb auch dadurch das rechtliche Gehör verletzt worden sei.</w:t>
      </w:r>
    </w:p>
    <w:p>
      <w:r>
        <w:rPr>
          <w:b/>
        </w:rPr>
        <w:t>E. 6.2</w:t>
      </w:r>
    </w:p>
    <w:p>
      <w:r>
        <w:t>Folgender Sachverhalt wurde von der Vorinstanz in der Verfügung und/oder im Einspracheentscheid nachvollziehbar dargelegt:</w:t>
      </w:r>
    </w:p>
    <w:p>
      <w:r>
        <w:rPr>
          <w:b/>
        </w:rPr>
        <w:t>E. 6.2.1</w:t>
      </w:r>
    </w:p>
    <w:p>
      <w:r>
        <w:t>Die Verfügung vom 1. Oktober 2015 (doc. 107) beinhaltet 11 Seiten sowie einen Link auf Erklärungen zu den Prämienvermittlungsunterlagen (www.suva.ch/praemien2016). In der Verfügung werden die Grundlagen und das generelle Vorgehen für die Einreihung ausführlich beschrieben. Auf Seite 4 ff. der Verfügung wird konkret ausgeführt, dass sich die Einreihung der Beschwerdeführerin auf die Betriebsbeschreibung vom 20. Dezember 2013 stütze, dass ab dem 1. Januar 2016 neue Einreihungsregeln beständen und dass dort - unter Hinweis auf Art. 18 des Tarifs - die administrativen Tätigkeiten bei der Zuteilung zur Risikogemeinschaft nicht berücksichtigt würden. Weiter werden in der Verfügung die Lohnsummen, die Basisprämie, das Prämienmodell sowie der Schadenverlauf (S. 7) festgehalten. Unter dem erwähnten Link findet sich per 14. September 2017 lediglich noch der Hinweis, dass diese Seite entweder aufgehoben oder verschoben worden sei.</w:t>
      </w:r>
    </w:p>
    <w:p>
      <w:r>
        <w:rPr>
          <w:b/>
        </w:rPr>
        <w:t>E. 6.2.2</w:t>
      </w:r>
    </w:p>
    <w:p>
      <w:r>
        <w:t>Im Einspracheentscheid vom 11. März 2016 (doc. 113) hat die Vorinstanz unter dem Titel "Klassenzuteilung" dargelegt, wie die Einreihung in die verschiedenen Tätigkeiten erfolgte. Da die administrativen Tätigkeiten (Bürotätigkeiten: 53%) bei der Einreihung nicht berücksichtigt würden, erfolge eine Einreihung in jene Risikogemeinschaft, auf welche laut Lohnsumme am meisten Merkmalsanteile entfielen, vorliegend auf den Strassentransport von Gütern (20%), vor Revision von Verbrennungsmotoren (17%) und vor Grosshandel oder Umschlag von diversen Gütern (10%). Damit werde die Beschwerdeführerin dem Risiko "Strassentransporte" zugeteilt, weil am meisten Risikomerkmale darauf entfielen.</w:t>
      </w:r>
    </w:p>
    <w:p>
      <w:r>
        <w:rPr>
          <w:b/>
        </w:rPr>
        <w:t>E. 6.2.3</w:t>
      </w:r>
    </w:p>
    <w:p>
      <w:r>
        <w:t>Bis dahin sind die Ausführungen der Vorinstanz nachvollziehbar, so insbesondere in Bezug auf die vorläufige Klassenzuteilung in Prozenten (53%/20%/17%/10%, vgl. Einspracheentscheid S. 1), sowie auf die Tatsache, dass die administrativen Tätigkeiten keine eigene Risikoklasse mehr bilden.</w:t>
      </w:r>
    </w:p>
    <w:p>
      <w:r>
        <w:rPr>
          <w:b/>
        </w:rPr>
        <w:t>E. 6.3.1</w:t>
      </w:r>
    </w:p>
    <w:p>
      <w:r>
        <w:t>Gestützt auf die obige Klassenzuteilung erfolgte unter dem Titel "Besondere Betriebsverhältnisse" eine definitive prozentuale Zuteilung zu den Klassen unter Berücksichtigung der Tatsache, dass administrative Tätigkeiten nicht als eigenes Betriebsmerkmal berücksichtigt werden (S. 2, 3). Die Vorinstanz führt dazu im Einspracheentscheid folgendes aus: "Betriebsmerkmale, die nicht ausschlaggebend für die Zuteilung zur Risikogemeinschaft eines Betriebes sind, welche jedoch den in Anhang 5 des Prämientarifs angegebenen Anteil an der Gesamtlohnsumme überschreiten, werden bei der Prämienkalkulation prämiensenkend bzw. prämienerhöhend berücksichtigt. Dies wird als besonderes Betriebsmerkmal bezeichnet (Art. 24 Abs. 1 bis 1ter Prämientarif). Das Ausmass, in welchem die besonderen Betriebsmerkmale einer Risikogemeinschaft nach Art. 1 berücksichtigt werden, berechnet sich aus dem den Schwellwert überschreitenden Anteil multipliziert mit dem Faktor 100 dividiert durch 100 minus den Schwellwert. Anteile von Betriebsmerkmalen, welche nicht zu einer Berücksichtigung nach Art. 1 und 1bis führen, werden proportional auf die zugeteilte Risikogemeinschaft und die Anteile der Risikogemeinschaften der besonderen Betriebsmerkmale verteilt, welche für die Bestimmung des Basissatzes massgebend sind und gewerblichen Charakter haben. Der Basissatz setzt sich diesfalls aus dem prozentualen Anteil Basissatz der zugeteilten Risikogemeinschaft und den prozentualen Anteilen der Basissätze der Risikogemeinschaften der besonderen Betriebsmerkmale zusammen. Dieser Mischsatz wird auf den nächstliegenden Nettosatz im Suva-Grundtarif gerundet (Art 24 Prämientarif)." Im Endergebnis resultierte eine Zuteilung von 60% in das Risiko Strassentransport, 7% Maschinenbau und 33% Büro (S. 3).</w:t>
      </w:r>
    </w:p>
    <w:p>
      <w:r>
        <w:rPr>
          <w:b/>
        </w:rPr>
        <w:t>E. 6.3.2</w:t>
      </w:r>
    </w:p>
    <w:p>
      <w:r>
        <w:t>Die Vorinstanz stützt sich bei der Umrechnung auf Art. 24 des Tarifs, welcher so lautet: Abs. 1 Verfügt ein Betrieb oder Betriebsteil über Betriebsmerkmale, die nicht ausschlaggebend für die Zuteilung zur Risikogemeinschaft sind, welche jedoch die in Anhang 5 angegebenen Schwellwerte überschreiten, setzt sich der für die Prämienbemessung massgebende Basissatz anteilmässig aus den Basissätzen der entsprechenden Risikogemeinschaften und dem Basissatz der zugeteilten Risikogemeinschaft zusammen. Abs. 1bis Das Ausmass, in welchem die besonderen Betriebsmerkmale einer Risikogemeinschaft nach Abs. 1 berücksichtigt werden, berechnet sich aus dem den Schwellwert überschreitenden Anteil multipliziert mit dem Faktor 100 dividiert durch 100 minus den Schwellwert. Abs. 1ter Anteile von Betriebsmerkmalen, welche nicht zu einer Berücksichtigung nach Abs. 1 und 1bis führen, werden proportional auf die zugeteilte Risikogemeinschaft und die Anteile der Risikogemeinschaften der besonderen Betriebsmerkmale verteilt, welche für die Bestimmung des Basissatzes massgebend sind und gewerblichen Charakter haben. Abs. 2: Der Basissatz setzt sich diesfalls aus dem prozentualen Anteil Basissatz der zugeteilten Risikogemeinschaft und den prozentualen Anteilen der letzten verfügbaren Basissätze der Risikogemeinschaften der besonderen Betriebsmerkmale zusammen. Dieser Mischsatz wird auf den nächstliegenden Nettosatz im Suva-Grundtarif gerundet. Die Vorinstanz führt in ihrer Vernehmlassung aus, der neue Prämientarif 2016, welchen die Beschwerdeführerin erhalten habe, enthalte sämtliche Einreihungsregeln, auch die Grenzwerte für die Klassenzuteilung (Anhang 4) und die Schwellwerte (recte: Schwellenwerte) für die Berücksichtigung von besonderen Betriebsmerkmalen (Anhang 5). Deshalb ziele der Vorwurf, die Suva stütze sich auf interne Regeln, ins Leere, und die drei von der Beschwerdeführerin angeführten Entscheide des Bundesverwaltungsgerichts seien veraltet (B-act. 6 S. 4). Das rechtliche Gehör sei gewährt worden.</w:t>
      </w:r>
    </w:p>
    <w:p>
      <w:r>
        <w:rPr>
          <w:b/>
        </w:rPr>
        <w:t>E. 6.4.1</w:t>
      </w:r>
    </w:p>
    <w:p>
      <w:r>
        <w:t>Dem ist insoweit zuzustimmen, als sowohl in der Einreihungsverfügung (doc. 107) als auch im Einspracheentscheid (doc. 117) zwar die rechtlichen Normen des Tarifs und die Basissätze genannt und auch Schwellenwerte erwähnt werden, welche bei besonderen Betriebsverhältnissen zur Anwendung gelangen sollen; ebenso erfolgt ein Hinweis auf die Anhänge 4 und 5 des Tarifs. Dennoch ist für das Gericht die konkrete Berechnung - in Anwendung von Art. 24 und Anhang 5 des Tarifs - nicht nachvollziehbar. Unklar bleibt, von welchem konkreten Schwellenwert in Anhang 5 vorliegend ausgegangen wird und wie die Berechnung konkret (in Zahlen) zu erfolgen hat. Die Vorinstanz führt in ihrem Einspracheentscheid unter dem Titel "Besondere Betriebsmerkmale" die Einreihungsregeln nur in allgemeiner Art und Weise aus und verweist auf im Anhang 5 genannte Schwellenwerte, jedoch unterlässt sie eine konkrete Nennung und Berechnung bzw. Umrechung. Somit bleibt vorliegend unklar, ob es sich hier um den Schwellenwert für Büros des Risikos 49A "Strassentransporte" handelt. Bei Durchsicht des Anhangs 5 (S. 51 des Tarifs) beträgt der Schwellenwert (in Prozent der Lohnsummen) für die Klasse 49A für "Büros" 30%. Da vorgängig die Tätigkeit Büro zu 53% (der Lohnsumme) veranschlagt wurde, läge somit vorliegend der über dem Schwellenwert liegende Anteil "Büro" bei 23%. Es ist nicht nachvollziehbar, wie die Vorinstanz in der Folge auf Seite 3 des Einspracheentscheides zum Endresultat gelangt, dass der Anteil "Büros" 33% betrage, derjenige des Risikos "Strassentransporte" 60% und derjenige des Risikos "Maschinenbau, externe Montage" 7%. Ebenso nicht nachvollziehbar ist für das Gericht, wie die Basissätze konkret in die Berechnung miteinbezogen worden sind bzw. einbezogen werden müssten.</w:t>
      </w:r>
    </w:p>
    <w:p>
      <w:r>
        <w:rPr>
          <w:b/>
        </w:rPr>
        <w:t>E. 6.4.2</w:t>
      </w:r>
    </w:p>
    <w:p>
      <w:r>
        <w:t>Ohne Offenlegung und Darstellung der konkreten Berechnung bzw. Umrechnung in der Verfügung oder im Einspracheentscheids ist die ermittelte prozentuale Einreihung nicht nachvollziehbar. Damit hat die Vorinstanz ihre Begründungpflicht verletzt.</w:t>
      </w:r>
    </w:p>
    <w:p>
      <w:r>
        <w:rPr>
          <w:b/>
        </w:rPr>
        <w:t>E. 6.4.3</w:t>
      </w:r>
    </w:p>
    <w:p>
      <w:r>
        <w:t>Das Gericht hat unter Zuhilfenahme des Prämientarifs 2016, der Broschüre "Prämienbemessung Berufs- und Nichtunfallversicherung" sowie der Broschüre "Die Einreihung der Betriebe in Klassen und Unterklassenteile / Die Technische Zuweisung" (abrufbar unter www.suva.ch) versucht, die Umrechnung nachzuvollziehen, was auf der Grundlage der eingereichten Akten und den Parteiausführungen nicht gelang. Selbst wenn dies gelänge, wäre festzuhalten, dass die Begründung einer Verfügung so abgefasst sein muss, dass auch der Laie sie nachvollziehen kann und genügende Daten offen gelegt werden, um sie nötigenfalls durch einen Experten überprüfen lassen zu können.</w:t>
      </w:r>
    </w:p>
    <w:p>
      <w:r>
        <w:rPr>
          <w:b/>
        </w:rPr>
        <w:t>E. 6.4.4</w:t>
      </w:r>
    </w:p>
    <w:p>
      <w:r>
        <w:t>Nichts zu ihren Gunsten ableiten kann die Vorinstanz aus der Tatsache, dass am 10. März 2016 im Beisein des VR-Präsidenten, des Anwalts und des Brokers der Beschwerdeführerin zusätzlich eine ausführliche Erläuterung (doc. 112) durch Vertreter der SUVA erfolgte. In den Akten bestehen keine Hinweise darauf, dass bei diesem Treffen die konkreten Zahlen für die Umrechnung nachvollziehbar dargelegt worden wären.</w:t>
      </w:r>
    </w:p>
    <w:p>
      <w:r>
        <w:rPr>
          <w:b/>
        </w:rPr>
        <w:t>E. 6.5</w:t>
      </w:r>
    </w:p>
    <w:p>
      <w:r>
        <w:t>Insgesamt war es der Beschwerdeführerin zwar möglich, den Einspracheentscheid anzufechten und darauf hinzuweisen, dass ihr Kerngeschäft der Handel sei und dass weitere Geschäftsfelder, insbesondere Transporte und Reparaturen, weiterhin von untergeordneter Bedeutung seien und dass sie deshalb mit der Einreihung nicht einverstanden sei. Da hingegen die konkrete prozentuale Aufteilung zu den Risikoklassen (60%/33%/7%) nicht nachvollzogen werden kann, war eine insgesamt sachgerechte Anfechtung nicht möglich. Insbesondere konnte die Beschwerdeführerin nicht überprüfen, ob die neue Berechnungsweise zu einer Einreihung führt, welche das Prinzip der Solidarität oder der Risikogerechtigkeit verletzt und ob die verfassungsmässigen Grundsätze der Rechtsgleichheit und des Willkürverbots eingehalten worden sind. Deshalb hat die Vorinstanz durch eine mangelhafte Begründung des Einspracheentscheides das rechtliche Gehör der Beschwerdeführerin verletzt.</w:t>
      </w:r>
    </w:p>
    <w:p>
      <w:r>
        <w:rPr>
          <w:b/>
        </w:rPr>
        <w:t>E. 7</w:t>
      </w:r>
    </w:p>
    <w:p>
      <w:r>
        <w:t>Auch im Beschwerdeverfahren erfolgte seitens der Vorinstanz keine Umrechnung der Prozentsätze unter Angabe der konkreten Schwellenwerte. Da auch das Bundesverwaltungsgericht die Berechnung reformatorisch nicht nachvollziehen kann, ist eine Heilung des Mangels zum vornherein ausgeschlossen. In Gutheissung der Beschwerde vom 27. April 2016 ist demnach der Einspracheentscheid der Vorinstanz vom 11. März 2016 aufzuheben. Die Akten sind an die Vorinstanz zurückzuweisen, damit diese die Einreihung der Beschwerdeführerin ab dem 1. Januar 2016 im Sinne der Erwägungen, d.h. mit Nennung der konkreten Schwellenwerte und der konkreten Umrechnung nachvollziehbar begründe, ihr das rechtliche Gehör gewähre und anschliessend eine neue Verfügung erlasse. Bei diesem Ausgang des Verfahrens sind die Rügen, die Vorinstanz verletzte das Legalitätsprinzip und das Gleichheitsgebot, nicht mehr zu prüfen. Eine solche Prüfung wäre angesichts der mangelnden Nachvollziehbarkeit hier nicht möglich.</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von ihr geleistete Kostenvorschuss in der Höhe von Fr. 2'000.- ist ihr nach Rechtskraft des vorliegenden Urteils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(inkl. Auslagen) auf insgesamt Fr. 3'000.- festzusetzen (Art. 9 Abs. 1 Buchst. a und b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