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C-2598/2007 vom 25. Februar 2008</w:t>
      </w:r>
    </w:p>
    <w:p>
      <w:r>
        <w:t>Bundesverwaltungsgericht, 2008-02-25, DE</w:t>
      </w:r>
    </w:p>
    <w:p>
      <w:r>
        <w:rPr>
          <w:b/>
        </w:rPr>
        <w:t xml:space="preserve">Quelle: </w:t>
      </w:r>
      <w:r>
        <w:t>https://mcp.opencaselaw.ch/entscheid/bvger_C-2598_2007</w:t>
      </w:r>
    </w:p>
    <w:p>
      <w:r>
        <w:t>FR: TAF C-2598/2007 du 25 février 2008</w:t>
      </w:r>
    </w:p>
    <w:p>
      <w:r>
        <w:t>IT: TAF C-2598/2007 del 25 febbraio 2008</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der in Art. 33 VGG aufgeführten Behörden erlassen wurden. Darunter fallen Verfügungen des BJ betreffend Fürsorgeleistungen an Auslandschweizerinnen und Auslandschweizer (vgl. Art. 14 Abs. 1 des Bundesgesetzes vom 21. März 1973 über Fürsorgeleistungen an Auslandschweizer [ASFG, SR 852.1]).</w:t>
      </w:r>
    </w:p>
    <w:p>
      <w:r>
        <w:rPr>
          <w:b/>
        </w:rPr>
        <w:t>E. 1.2</w:t>
      </w:r>
    </w:p>
    <w:p>
      <w:r>
        <w:t>Gemäss Art. 37 VGG richtet sich das Verfahren vor dem Bundesverwaltungsgericht nach dem VwVG, soweit das Gesetz nichts anderes bestimmt.</w:t>
      </w:r>
    </w:p>
    <w:p>
      <w:r>
        <w:rPr>
          <w:b/>
        </w:rPr>
        <w:t>E. 1.3</w:t>
      </w:r>
    </w:p>
    <w:p>
      <w:r>
        <w:t>Als Verfügungsadressaten sind die Beschwerdeführer durch die angefochtene Verfügung besonders berührt und haben ein schutzwürdiges Interesse an deren Aufhebung (vgl. Art. 48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Urteil des Bundesverwaltungsgerichts C-2636/2007 vom 10. Oktober 2007, E. 2).</w:t>
      </w:r>
    </w:p>
    <w:p>
      <w:r>
        <w:rPr>
          <w:b/>
        </w:rPr>
        <w:t>E. 3.1</w:t>
      </w:r>
    </w:p>
    <w:p>
      <w:r>
        <w:t>Nach Art. 1 ASFG gewährt der Bund im Rahmen dieses Gesetzes Auslandschweizerinnen und Auslandschweizern, die sich in einer Notlage befinden, Fürsorgeleistungen. Entsprechend dem Grundsatz der Subsidiarität der öffentlichen Sozialhilfe wird solche Unterstützung nur an Personen ausgerichtet, die ihren Lebensunterhalt nicht hinreichend aus eigenen Kräften und Mitteln, Beiträgen von privater Seite oder Hilfeleistungen des Aufenthaltsstaates bestreiten können (Art. 5 ASFG).</w:t>
      </w:r>
    </w:p>
    <w:p>
      <w:r>
        <w:rPr>
          <w:b/>
        </w:rPr>
        <w:t>E. 3.2</w:t>
      </w:r>
    </w:p>
    <w:p>
      <w:r>
        <w:t>Hilfsbedürftigen Personen kann die Heimkehr in die Schweiz nahegelegt werden, wenn dies in ihrem wohlverstandenen Interesse oder dem ihrer Familie liegt; in diesem Fall übernimmt der Bund anstelle der weiteren Unterstützung im Ausland die Heimreisekosten (Art. 11 Abs. 1 ASFG). Ob die Heimkehr im wohlverstandenen Interesse der Betroffenen liegt, ist nach fürsorgerischen Grundsätzen zu beurteilen; finanzielle Erwägungen sollen nicht ausschlaggebend sein (Art. 14 Abs. 1 der Verordnung vom 26. November 1973 über Fürsorgeleistungen an Auslandschweizer [ASFV, SR 852.11]). Von der Nahelegung einer Heimkehr ist namentlich dann abzusehen, wenn Menschlichkeitsgründe dagegen sprechen, insbesondere wenn enge Familienbande zerrissen oder aus einem Aufenthalt von längerer Dauer sich ergebende enge Beziehungen zum Aufenthaltsstaat zerstört würden, wenn die Hilfsbedürftigkeit bloss von kurzer Dauer oder solange der Hilfsbedürftige oder einer seiner Familienangehörigen transportunfähig ist (Art. 14 Abs. 2 ASFV).</w:t>
      </w:r>
    </w:p>
    <w:p>
      <w:r>
        <w:rPr>
          <w:b/>
        </w:rPr>
        <w:t>E. 3.3</w:t>
      </w:r>
    </w:p>
    <w:p>
      <w:r>
        <w:t>Eine auf eine gewisse Dauer angelegte Unterstützung vor Ort soll grundsätzlich nur für diejenigen Auslandschweizerinnen und Auslandschweizer in Frage kommen, die sich im Ausland eine Existenz aufgebaut haben, dort weitgehend integriert sind und (nachträglich) in eine finanzielle Notlage geraten. Hingegen sollen in der Regel Leistungen nicht beansprucht werden können, um eine Existenz im Ausland erst aufzubauen und unternehmerische Risiken abzudecken; dies wäre mit der Natur des Gesetzes als eigentlichem Fürsorgeerlass nicht vereinbar. Anders verhält es sich allenfalls dann, wenn konkrete Anhaltspunkte dafür vorliegen, dass die Betroffenen nach einer kurzen Unterstützungsphase den Lebensunterhalt in absehbarer Zeit selber werden bestreiten können; es muss eine gewisse Zukunftsperspektive erkennbar sein. Grundsätzlich ist es somit zulässig, hilfsbedürftigen Personen, die sich noch nicht sehr lange im Gastland aufhalten, dort wirtschaftlich nicht Fuss fassen konnten und voraussichtlich auf längere Sicht unterstützungsbedürftig bleiben dürften, die Rückreise nahezulegen (und die Übernahme der Rückreisekosten zu garantieren) bzw. die Erbringung von Leistungen ins Ausland zu verweigern, wenn keine besonderen Gründe im Sinne von Art. 14 Abs. 2 ASFV vorliegen (vgl. Urteil des Bundesgerichts 2A.43/2007 vom 5. April 2007, E. 3.2 mit Hinweis).</w:t>
      </w:r>
    </w:p>
    <w:p>
      <w:r>
        <w:rPr>
          <w:b/>
        </w:rPr>
        <w:t>E. 4</w:t>
      </w:r>
    </w:p>
    <w:p>
      <w:r>
        <w:t>Es ist unbestritten, dass sich die Beschwerdeführer in einer Notlage im Sinne von Art. 1 und 5 ASFG befinden. Zu prüfen ist daher nachfolgend lediglich, ob das BJ den Beschwerdeführern in der angefochtenen Verfügung zu Recht die Ausrichtung von Fürsorgeleistungen verweigert und ihnen statt dessen die Heimkehr in die Schweiz nahegelegt hat.</w:t>
      </w:r>
    </w:p>
    <w:p>
      <w:r>
        <w:rPr>
          <w:b/>
        </w:rPr>
        <w:t>E. 4.1</w:t>
      </w:r>
    </w:p>
    <w:p>
      <w:r>
        <w:t>Gemäss eigenen Angaben mussten die Beschwerdeführer das von ihnen auf der Insel Langkawi im Jahre 2004 eröffnete Bistro bereits nach einem Jahr wieder schliessen. Die nach der Übersiedlung auf das Festland unternommenen Versuche, mit der Produktion von Ziegenmilch, dem Verkauf von Hamburgern und Kuchen sowie der Gewinnung von Kautschuk ein genügendes Einkommen zu erzielen, haben ebenfalls - zumindest bis zum heutigen Zeitpunkt - nicht zum erhofften Erfolg geführt. In der Replik vom 3. August 2007 machen die Beschwerdeführer diesbezüglich zwar geltend, dass der Erlös aus dem Verkauf von Burgern und Backwaren sowie aus der Arbeit in der Gummiplantage habe gesteigert werden können, sodass nun die Versorgung der Ziegen gedeckt sei. Diese Vorbringen wurden von den Beschwerdeführern indessen weder weiter substanziiert noch mit Beweismitteln unterlegt. Selbst wenn jedoch davon ausgegangen wird, dass der Sachverhalt korrekt dargestellt wurde, führt dies lediglich zum Schluss, dass die aktuellen Projekte insgesamt nicht mehr defizitär sind. Ein Einkommen resultiert aus den Tätigkeiten der Beschwerdeführer hingegen offenbar nicht. Ferner sind gemäss dem Schreiben der Beschwerdeführer vom 10. Februar 2008 anscheinend auch die in der Replik erwähnten Bemühungen des Beschwerdeführers, eine Stelle als Berater von landwirtschaftlichen Grossbetrieben zu finden, ergebnislos verlaufen. Unter diesen Umständen muss festgestellt werden, dass es den Beschwerdeführern, die sich aktuell seit rund sieben (sie) bzw. viereinhalb Jahren (er) in Malaysia aufhalten, (noch) nicht gelungen ist, in ihrem Gastland wirtschaftlich Fuss zu fassen. Konkrete Anhaltspunkte, dass sich an dieser Situation in absehbarer Zukunft etwas ändern könnte, sind aus den vorliegenden Akten nicht ersichtlich. Zugunsten der Beschwerdeführer ist immerhin anzuführen, dass sie offenbar - sowohl auf der Einnahmen- als auch der Ausgabenseite - das in ihren Kräften stehende unternehmen, um selber für ihren Lebensunterhalt aufkommen zu können. Diese aktenkundigen Anstrengungen genügen jedoch nicht für eine günstige Prognose im Hinblick auf die künftige Entwicklung der Arbeitsprojekte der Beschwerdeführer. Vielmehr muss aufgrund der derzeitigen Aktenlage befürchtet werden, dass ihre wirtschaftlichen Aktivitäten auch in absehbarer Zukunft per Saldo keine Gewinne abwerfen werden. Das Bundesverwaltungsgericht schliesst sich daher der Einschätzung der Vorinstanz an, dass die Ausrichtung von Fürsorge im vorliegenden Fall nicht einer bloss temporären Hilfeleistung zur Linderung einer vorübergehenden Notlage, sondern einer wirtschaftlichen Aufbauhilfe gleichkäme.</w:t>
      </w:r>
    </w:p>
    <w:p>
      <w:r>
        <w:rPr>
          <w:b/>
        </w:rPr>
        <w:t>E. 4.2</w:t>
      </w:r>
    </w:p>
    <w:p>
      <w:r>
        <w:t>Wie bereits gesehen, halten sich die Beschwerdeführer inzwischen seit sieben bzw. viereinhalb Jahren in Malaysia auf. In der Praxis wird in der Regel davon ausgegangen, dass eine Aufenthaltsdauer von weniger als fünf Jahren eher für eine Heimkehr spricht. Dabei handelt es sich um einen - im Gesamtkontext der übrigen Kriterien - flexibel zu handhabenden Richtwert (vgl. Urteil des Bundesverwaltungsgerichts C-5993/2007 vom 29. Januar 2008, E. 5.3). Die Anwesenheitsdauer der Beschwerdeführer in ihrer Wahlheimat bewegt sich um den genannten Richtwert. Dieser Zeitraum ist vorliegend auch ins Verhältnis zum Alter der Beschwerdeführer zu setzen, die den weitaus grössten Teil ihres bisherigen Lebens in der Schweiz verbracht haben. Den Akten können sodann keine Hinweise für eine besonders weit fortgeschrittene Integration im Gastland entnommen werden. In diesem Zusammenhang ist zugunsten der Beschwerdeführer immerhin zu erwähnen, dass sie in Malaysia insofern über einen relativ engen persönlichen Anknüpfungspunkt verfügen, als die Schwester der Beschwerdeführerin, die mit einem malaysischen Staatsangehörigen verheiratet ist, in unmittelbarer Nähe wohnt. Diese persönliche Beziehung könnte im Falle einer Rückkehr in die Schweiz zweifellos nicht mehr im gleichen Masse gepflegt werden. Eine solche drohende Einschränkung vermag indessen für sich alleine eine Unterstützung der Beschwerdeführer vor Ort nicht zu rechtfertigen.</w:t>
      </w:r>
    </w:p>
    <w:p>
      <w:r>
        <w:rPr>
          <w:b/>
        </w:rPr>
        <w:t>E. 4.3</w:t>
      </w:r>
    </w:p>
    <w:p>
      <w:r>
        <w:t>Soweit auf Beschwerdeebene vorgebracht wird, die Deckung des Existenzminimums in Malaysia sei einfacher, weil hier die Lebenshaltungskosten tiefer seien als in der Schweiz, ist darauf hinzuweisen, dass solche finanziellen Überlegungen beim Entscheid, ob eine Heimkehr in die Schweiz im wohlverstandenen Interesse der hilfsbedürftigen Person ist, nicht ausschlaggebend sein sollen (vgl. Art. 14 Abs. 1 Satz 2 ASFV). Im Weiteren mag es zutreffen, dass die Perspektiven der Beschwerdeführer auf dem schweizerischen Arbeitsmarkt im Falle der Heimkehr - sowohl unter Berücksichtigung des Alters, der mehrjährigen Landesabwesenheit als auch der gesundheitlichen Schwierigkeiten des Beschwerdeführers (Morbus Scheuermann, starke Arthrose- und Rheumabeschwerden) - nicht sonderlich günstig erscheinen. Angesichts der sehr prekären wirtschaftlichen Situation der Beschwerdeführer in Malaysia ist das Risiko einer dauerhaften Fürsorgeabhängigkeit im Falle eines Verbleibs im Gastland jedoch als höher einzustufen als bei einer Rückkehr in die Schweiz. In der Schweiz hätten die Beschwerdeführer nämlich bei Bedarf zumindest Zugang zu Leistungen der Sozialversicherungen, so beispielsweise der Arbeitslosen- oder Invalidenversicherung. Vor diesem Hintergrund erscheint das Fürsorgerisiko bei einer Heimkehr als verhältnismässig gering. Es ist durchaus nachvollziehbar, wenn der Beschwerdeführer in diesem Zusammenhang einwendet, dass ihm das Klima in Malaysia - im Gegensatz zu jenem in der Schweiz - ein fast uneingeschränktes Arbeiten ermögliche, während er hier möglicherweise eine Invalidenrente beantragen müsste. Dieses Argument kann jedoch in fürsorgerechtlicher Sicht letztlich nicht entscheidend sein, da die Ausrichtung von Sozialhilfe gegenüber Sozialversicherungsleistungen subsidiär ist (vgl. Art. 5 Abs. 2 ASFV sowie Urteil des Bundesgerichts 2A.555/2001 vom 19. Dezember 2001, E. 1b).</w:t>
      </w:r>
    </w:p>
    <w:p>
      <w:r>
        <w:rPr>
          <w:b/>
        </w:rPr>
        <w:t>E. 4.4</w:t>
      </w:r>
    </w:p>
    <w:p>
      <w:r>
        <w:t>Nicht ausser Acht zu lassen sind schliesslich präjudizielle Überlegungen und Gründe der Rechtsgleichheit. So steht es nicht im Belieben von Sozialhilfeempfängerinnen und -empfängern, sich im einem Land eigener Wahl von der Schweiz unterstützen zu lassen. Dies gilt insbesondere, wenn eine Person voraussichtlich längerfristig unterstützungsbedürftig bleiben wird. Die Kosten einer Unterstützung im Auswanderungsland im Vergleich mit denjenigen einer Unterstützung in der Schweiz sind dabei - wie bereits erwähnt - nicht massgeblich (vgl. Urteil des Bundesverwaltungsgerichts C-4496/2007 vom 20. Dezember 2007, E. 5.5 mit Hinweisen).</w:t>
      </w:r>
    </w:p>
    <w:p>
      <w:r>
        <w:rPr>
          <w:b/>
        </w:rPr>
        <w:t>E. 4.5</w:t>
      </w:r>
    </w:p>
    <w:p>
      <w:r>
        <w:t>Nach dem Gesagten kommt das Bundesverwaltungsgericht mit der Vorinstanz zum Schluss, dass eine Heimkehr der Beschwerdeführer in die Schweiz aus fürsorgerechtlicher Sicht in deren wohlverstandenem Interesse ist und keine Menschlichkeitsgründe im Sinne von Art. 14 Abs. 2 ASFV dagegen sprechen.</w:t>
      </w:r>
    </w:p>
    <w:p>
      <w:r>
        <w:rPr>
          <w:b/>
        </w:rPr>
        <w:t>E. 5</w:t>
      </w:r>
    </w:p>
    <w:p>
      <w:r>
        <w:t>Zusammenfassend ergibt sich somit, dass die Vorinstanz den Beschwerdeführern die Ausrichtung von Fürsorgeleistungen nach dem ASFG zu Recht verweigert hat.</w:t>
      </w:r>
    </w:p>
    <w:p>
      <w:r>
        <w:rPr>
          <w:b/>
        </w:rPr>
        <w:t>E. 6</w:t>
      </w:r>
    </w:p>
    <w:p>
      <w:r>
        <w:t>Demnach gelangt das Bundesverwaltungsgericht zum Schluss, dass die angefochtene Verfügung Bundesrecht nicht verletzt. Der rechtserhebliche Sachverhalt wurde richtig und vollständig festgestellt und die Vorinstanz hat auch ihr Ermessen pflichtgemäss ausgeübt (vgl. Art. 49 VwVG). Die Beschwerde ist daher abzuweisen.</w:t>
      </w:r>
    </w:p>
    <w:p>
      <w:r>
        <w:rPr>
          <w:b/>
        </w:rPr>
        <w:t>E. 7</w:t>
      </w:r>
    </w:p>
    <w:p>
      <w:r>
        <w:t>Bei diesem Ausgang des Verfahrens würden die Beschwerdeführer grundsätzlich kostenpflichtig. Angesichts der besonderen Umstände ist jedoch von der Auferlegung von Verfahrenskosten abzusehen (Art. 63 Abs. 1 VwVG i.V.m. Art. 6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