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C-258/2010 vom 2. November 2012</w:t>
      </w:r>
    </w:p>
    <w:p>
      <w:r>
        <w:t>Bundesverwaltungsgericht, 2012-11-02, DE</w:t>
      </w:r>
    </w:p>
    <w:p>
      <w:r>
        <w:rPr>
          <w:b/>
        </w:rPr>
        <w:t xml:space="preserve">Quelle: </w:t>
      </w:r>
      <w:r>
        <w:t>https://mcp.opencaselaw.ch/entscheid/bvger_C-258_2010</w:t>
      </w:r>
    </w:p>
    <w:p>
      <w:r>
        <w:t>FR: TAF C-258/2010 du 2 novembre 2012</w:t>
      </w:r>
    </w:p>
    <w:p>
      <w:r>
        <w:t>IT: TAF C-258/2010 del 2 novembre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Gegenstand des Beschwerdeverfahrens kann sein, worüber die Vorinstanz in Form einer Verfügung entschieden hat oder richtigerweise hätte entscheiden müssen. Im vorliegenden Fall ist es die Verweigerung der Zustimmung zur Verlängerung einer Aufenthaltsbewilligung sowie die Wegweisung aus der Schweiz. Soweit der Beschwerdeführer die direkte Erteilung bzw. unmittelbare Verlängerung der Aufenthaltsbewilligung verlangt, erweist sich sein Rechtsmittel als unzulässig (vgl. beispielsweise Urteil des BVGer C-3256/2009 vom 29. Juni 2012 E. 1.3 mit Hinweis).</w:t>
      </w:r>
    </w:p>
    <w:p>
      <w:r>
        <w:rPr>
          <w:b/>
        </w:rPr>
        <w:t>E. 1.4</w:t>
      </w:r>
    </w:p>
    <w:p>
      <w:r>
        <w:t>Der Beschwerdeführer ist als Verfügungsadressat zur Beschwerde legitimiert (Art. 48 Abs. 1 VwVG). Auf die im Übrigen frist- und formgerecht eingereichte Beschwerde ist daher im dargelegten Umfang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sowie BVGer A-2682/2007 vom 7. Oktober 2010 E. 1.2 und 1.3).</w:t>
      </w:r>
    </w:p>
    <w:p>
      <w:r>
        <w:rPr>
          <w:b/>
        </w:rPr>
        <w:t>E. 3</w:t>
      </w:r>
    </w:p>
    <w:p>
      <w:r>
        <w:t>Um die nach Auffassung des Beschwerdeführers in affektiver und wirtschaftlicher Hinsicht besondere Bindung zwischen Vater und Kind zu belegen, wird in der Rechtsmitteleingabe vom 15. Januar 2010 als Beweismassnahme im Sinne einer Beweisofferte gegebenenfalls die psychiatrische Begutachtung von C._______, der Tochter des Beschwerdeführers, beantragt.</w:t>
      </w:r>
    </w:p>
    <w:p>
      <w:r>
        <w:rPr>
          <w:b/>
        </w:rPr>
        <w:t>E. 3.1</w:t>
      </w:r>
    </w:p>
    <w:p>
      <w:r>
        <w:t>Der Behörde kommt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0.101) zu verletzen (vgl. zum Ganzen BGE 136 I 229 E. 5.3 S. 236 f. mit Hinweisen).</w:t>
      </w:r>
    </w:p>
    <w:p>
      <w:r>
        <w:rPr>
          <w:b/>
        </w:rPr>
        <w:t>E. 3.2</w:t>
      </w:r>
    </w:p>
    <w:p>
      <w:r>
        <w:t>Der entscheidswesentliche Sachverhalt erschliesst sich, wie nachfolgend zu zeigen sein wird, in hinreichender Weise aus den Akten. So haben sich sowohl die Beiständin als auch die Vorsteherin des Sozialamtes Y.______ im Verlaufe des Rechtsmittelverfahrens schon zweimal zum Vater-Tochter-Verhältnis bzw. der Ausgestaltung des Besuchsrechts geäussert. Es ist mithin nicht davon auszugehen, dass eine psychiatrische Begutachtung über das bereits Bekannte hinausginge und am Ergebnis etwas zu ändern vermöchte. Vom entsprechenden Beweisanerbieten kann somit in antizipierter Beweiswürdigung ohne Verletzung des rechtlichen Gehörs abgesehen werden (BGE 136 I 229 E. 5.3 S. 236 f. mit Hinweisen).</w:t>
      </w:r>
    </w:p>
    <w:p>
      <w:r>
        <w:rPr>
          <w:b/>
        </w:rPr>
        <w:t>E. 4.1</w:t>
      </w:r>
    </w:p>
    <w:p>
      <w:r>
        <w:t>Am 1. Januar 2008 traten das Ausländergesetz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4.2</w:t>
      </w:r>
    </w:p>
    <w:p>
      <w:r>
        <w:t>Dem Beschwerdeführer ist zwar noch unter dem Geltungsbereich des Bundesgesetzes vom 26. März 1931 über Aufenthalt und Nieder­lassung der Ausländer (ANAG, BS 1 121) eine erstmalige Aufenthalts­bewilligung erteilt worden, da das vorliegende Verfahren jedoch nach dem 1. Januar 2008 eingeleitet wurde (vgl. gültige Bewilligung bis 16. Oktober 2008; Verfallsanzeige vom 8. September 2008), ist neues Recht anwendbar.</w:t>
      </w:r>
    </w:p>
    <w:p>
      <w:r>
        <w:rPr>
          <w:b/>
        </w:rPr>
        <w:t>E. 5</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16. Juli 2012 (online abrufbar unter: www.bfm.admin.ch &gt; Dokumentation &gt; Rechtliche Grundlagen &gt; Weisungen und Kreisschreiben &gt; I. Ausländerbereich &gt; 1 Verfahren und Zuständigkeiten Ziff. 1.3.1.4 Bst. e). Danach ist die Verlängerung der Aufenthaltsbewilligung einer Ausländerin oder eines Ausländers nach der Auflösung der ehelichen Gemeinschaft mit dem schweizerischen oder ausländischen Ehegatten oder nach dessen Tod dem BFM zur Zustimmung zu unterbreiten, falls die betroffene ausländische Person nicht aus einem Mitgliedstaat der EG oder der EFTA stammt.</w:t>
      </w:r>
    </w:p>
    <w:p>
      <w:r>
        <w:rPr>
          <w:b/>
        </w:rPr>
        <w:t>E. 6</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6.1</w:t>
      </w:r>
    </w:p>
    <w:p>
      <w:r>
        <w:t>Mit Urteil vom 10. November 2008 (im Scheidungspunkt rechtskräftig seit dem 6. April 2009) wurden die Ehegatten geschieden. Gemäss Art. 43 Abs. 2 AuG hat der Ehegatte einer in der Schweiz niedergelassenen Person nach einem ordnungsgemässen und ununterbrochenen Aufenthalt von fünf Jahren Anspruch auf Erteilung der Niederlassungsbewilligung. Der Beschwerdeführer ist am 17. Oktober 2003 in die Schweiz eingereist, die Fünfjahresfrist endete somit am 17. Oktober 2008. Ein getrennter Haushalt steht - sofern dafür wichtige Gründe vorliegen - dem Anspruch auf Niederlassungsbewilligung nicht entgegen. Jedoch kann sich der Beschwerdeführer nicht auf Art. 43 Abs. 2 AuG berufen, wenn sich die Aufhebung des gemeinsamen Haushaltes - wie im vorliegenden Fall - vor Ablauf der Fünfjahresfrist nachträglich als endgültige Trennung der ehelichen Gemeinschaft herausstellt (vgl. Marc Spescha in: Spescha/Thür/Zünd/Bolzli [Hrsg.], Kommentar Migrationsrecht, 3. aktualisier­te Auflage, Zürich 2012, Art. 42 AuG N. 7). Da die eheliche Gemeinschaft nach dem 18. September 2005, mithin vor Ablauf von fünf Jahren, nicht wieder aufgenommen wurde, steht ein Anspruch auf Niederlassungsbewilligung gestützt auf Art. 43 Abs. 2 AuG ausser Frage.</w:t>
      </w:r>
    </w:p>
    <w:p>
      <w:r>
        <w:rPr>
          <w:b/>
        </w:rPr>
        <w:t>E. 6.2</w:t>
      </w:r>
    </w:p>
    <w:p>
      <w:r>
        <w:t>Festzuhalten ist im Weiteren, dass der Beschwerdeführer aus Art. 43 Abs. 1 AuG keinen Anspruch ableiten kann, da dieser mit der Scheidung (Urteile vom 10. November 2008 bzw. 17. September 2009) weggefallen ist. Ebenso steht fest, dass die anrechenbare eheliche Haushaltsgemeinschaft mit B._______ hier weniger als drei Jahre gedauert hat, konkret rund ein Jahr und elf Monate, setzten doch sowohl Art. 42 AuG als auch Art. 50 Abs. 1 Bst. a AuG hierfür voraus, dass der ausländische Ehegatte sich hierzulande aufhält (vgl. etwa BGE 137 II 345 E. 3.1.3 S. 347 f. oder BGE 136 II 113 E. 3.3 S. 117 ff.). Auch aus Art. 50 Abs. 1 Bst. a AuG vermag der Beschwerdeführer demnach keine Ansprüche abzuleiten (zur strikten Massgabe der Dreijahresfrist von Art. 50 Abs. 1 Bst. a AuG vgl. wiederum BGE 137 II 345 E. 3.1.3 S. 347 f.).</w:t>
      </w:r>
    </w:p>
    <w:p>
      <w:r>
        <w:rPr>
          <w:b/>
        </w:rPr>
        <w:t>E. 7</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Spescha, a.a.O., Art. 50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w:t>
      </w:r>
    </w:p>
    <w:p>
      <w:r>
        <w:rPr>
          <w:b/>
        </w:rPr>
        <w:t>E. 8</w:t>
      </w:r>
    </w:p>
    <w:p>
      <w:r>
        <w:t>Im Falle des Beschwerdeführers fällt in Betracht, dass er Vater eines Kindes ist, welches die Niederlassungsbewilligung besitzt. Aufgrund dessen macht er geltend, gestützt auf Art. 8 EMRK und Art. 13 Abs. 1 BV einen Anspruch auf Verlängerung der Aufenthaltsbewilligung zu haben.</w:t>
      </w:r>
    </w:p>
    <w:p>
      <w:r>
        <w:rPr>
          <w:b/>
        </w:rPr>
        <w:t>E. 8.1</w:t>
      </w:r>
    </w:p>
    <w:p>
      <w:r>
        <w:t>Art. 8 Abs. 1 EMRK und der - soweit hier von Interesse - inhaltlich im Wesentlichen übereinstimmende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8.2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zwischen ihm und den Kindern in wirtschaftlicher und affektiver Hinsicht eine besonders enge Beziehung besteht, die wegen der Distanz zu seinem Herkunftsland praktisch nicht aufrecht erhalten werden könnte, und wenn zusätzlich das bisherige Verhalten des Betroffenen in der Schweiz zu keinerlei Klagen Anlass gegeben hat (vgl. BGE 120 Ib 1 E. 3c S. 5 f., 22 E. 4a/b S. 24 f. sowie Urteile des Bundesgerichts 2C_145/2012 vom 16. Juli 2012 E. 2.3 und 2C_578/2011 vom 1. Dezember 2011 E. 3.4.3 je mit Hinweisen). Die besondere gefühlsmässige Intensität der Beziehung kann in der Regel nur dann bejaht werden, wenn ein grosszügig ausgestaltetes Besuchsrecht eingeräumt ist und dieses kontinuierlich, spontan und reibungslos ausgeübt wird (vgl. Urteil des Bundesgerichts 2C_805/2011 vom 16. Februar 2012 E. 3.2 mit Hinweisen).</w:t>
      </w:r>
    </w:p>
    <w:p>
      <w:r>
        <w:rPr>
          <w:b/>
        </w:rPr>
        <w:t>E. 8.3</w:t>
      </w:r>
    </w:p>
    <w:p>
      <w:r>
        <w:t>Der Beschwerdeführer wendet in der Rechtsmitteleingabe vom 15. Januar 2010 (wie schon in einer früheren Stellungnahme vom 9. Dezember 2009) ein, er pflege zu seiner Tochter eine gute und enge Beziehung. Im Verlaufe des Beschwerdeverfahrens wurden hierzu verschiedene Unterlagen eingereicht. Es stellt sich folglich die Frage, ob er in affektiver und wirtschaftlicher Hinsicht eine besonders enge Beziehung zum gemeinsamen Kind unterhält.</w:t>
      </w:r>
    </w:p>
    <w:p>
      <w:r>
        <w:rPr>
          <w:b/>
        </w:rPr>
        <w:t>E. 8.3.1</w:t>
      </w:r>
    </w:p>
    <w:p>
      <w:r>
        <w:t>Dass zwischen dem Kindsvater und C._______ eine intakte und gelebte Beziehung besteht, soll nicht in Abrede gestellt werden. Allerdings hat der Beschwerdeführer nicht das Sorgerecht über das gemeinsame Kind inne, so dass er seine väterlichen Kontakte lediglich im Rahmen des ihm eingeräumten Besuchsrechts pflegen kann. Wie aus dem Urteil des Obergerichts des Kantons Zürich vom 17. September 2009 hervorgeht, ist der Beschwerdeführer berechtigt, seine Tochter am ersten und dritten Wochenende jeden Monats von Freitag 19.00 Uhr bis Sonntag 19.00 Uhr zu sich oder mit sich auf Besuch zu nehmen. Zudem darf er C.______ am zweiten Weihnachtsfeiertag sowie in Jahren mit gerader Jahreszahl über Ostern und in solchem mit ungerader Jahreszahl über Pfingsten auf eigene Kosten zu sich oder mit sich auf Besuch nehmen. Sodann ist ihm das Recht eingeräumt worden, seine Tochter jährlich während drei Wochen zu sich oder mit sich in die Ferien zu nehmen (siehe auch Sachverhalt Bst. B.d vorstehend). Nach Darstellung des Parteivertreters nimmt sein Mandant das Besuchsrecht effektiv auch wahr. Dieses wird kontinuierlich, reibungslos und - soweit es die konkreten Begebenheiten erlauben - spontan ausgeübt. Besagte Einschätzung wird von der Beiständin (siehe deren Eingaben vom 26. November 2009 und 23. Januar 2012), der Sozialvorsteherin der Gemeinde Y.______ (vgl. die entsprechenden Mitteilungen vom 14. Januar 2010 und 23. Januar 2012) sowie der Pfarrei P.______ in X.______/ZH (vgl. Schreiben vom 3. Juli 2012) bestätigt. Besonderer Erwähnung verdient, dass dem Beschwerdeführer eine sehr zuverlässige Einhaltung der Besuchszeiten attestiert wird und dass er bei kurzfristigen Änderungen der Besuchsplanung konstruktiv und kooperativ mitwirkt. Die gesunde Entwicklung des Kindes (physisch, psychisch, schulisch) scheint ihm ein echtes Anliegen. Dass er nicht noch mehr Betreuungsfunktionen oder Verantwortung übernommen hat, resultiert aus dem lange Zeit gespannten Verhältnis zwischen den Elternteilen (so die Beobachtungen der Erziehungsbeistandschaft). Ungeachtet dessen ist davon auszugehen, dass sich der Beschwerdeführer ernsthaft und in mannigfaltiger Weise um die gemeinsame Tochter kümmert, was indirekt auch aus den eingereichten Fotos ersichtlich ist. Die dargelegten Kontakte zwischen dem nichtsorgeberechtigten Elternteil und seiner Tochter gehen mithin über das übliche Mass der Besuchsrechtsgestaltung hinaus, weshalb hier von einer engen gefühlsmässigen Vater-Kind-Beziehung im Sinne der bundesgerichtlichen Rechtsprechung ausgegangen werden kann (vgl. Urteil des BVGer C-3256/2009 vom 29. Juni 2012 E. 8.3.1 mit Hinweisen).</w:t>
      </w:r>
    </w:p>
    <w:p>
      <w:r>
        <w:rPr>
          <w:b/>
        </w:rPr>
        <w:t>E. 8.3.2</w:t>
      </w:r>
    </w:p>
    <w:p>
      <w:r>
        <w:t>Analog verhält es sich mit der Voraussetzung einer engen wirtschaftlichen Beziehung. So hat der Beschwerdeführer die gerichtlich festgesetzten Unterhaltsbeiträge (für C._______ monatlich Fr. 800.-, für die Kindsmutter Fr. 350.- pro Monat) bislang nachweislich regelmässig und anstandslos bezahlt. An diesbezüglicher Unterstützung mangelt es mit anderen Worten nicht. Kommt hinzu, dass angesichts der abwechslungsreich gestalteten Vater-Tochter-Beziehung angenommen werden darf, dass er sie im Rahmen der Besuchsrechtsausübung über den festgelegten Unterhaltsbeitrag hinaus auf verschiedene Weise zusätzlich (u.a. finanziell) unterstützt. Damit liegt auch in wirtschaftlicher Hinsicht eine besonders enge Beziehung vor (vgl. hierzu Urteil des Bundesgerichts 2C_718/2010 vom 2. März 2011 E. 3.2.2 e contrario).</w:t>
      </w:r>
    </w:p>
    <w:p>
      <w:r>
        <w:rPr>
          <w:b/>
        </w:rPr>
        <w:t>E. 8.3.3</w:t>
      </w:r>
    </w:p>
    <w:p>
      <w:r>
        <w:t>Gemäss Art. 3 Abs. 1 des Übereinkommens vom 20. November 1989 über die Rechte des Kindes (UNO-KRK,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BGE 135 I 153 E. 2.2.2 S. 156 f. mit Hinweisen; zum Ganzen siehe ferner Art. 11 Abs. 1 BV und Art. 9 Abs. 3 KRK). Alles in allem würde sich die Nichtverlängerung der Aufenthaltsbewilligung an den Beschwerdeführer hier zweifelsohne nachteilig auf die Tochter auswirken bzw. den Kindesinteressen entgegenstehen. In Anbetracht der aktenkundigen Einschätzungen (worunter von Fachstellen) hat die Vorinstanz diesem Aspekt insofern zu wenig Rechnung getragen.</w:t>
      </w:r>
    </w:p>
    <w:p>
      <w:r>
        <w:rPr>
          <w:b/>
        </w:rPr>
        <w:t>E. 8.4</w:t>
      </w:r>
    </w:p>
    <w:p>
      <w:r>
        <w:t>Im Kontext besagter Erwägungen ist den Interessen des Beschwerdeführers, seine (familiären) Beziehungen in der Schweiz weiterführen zu dürfen, gebührend Rechnung zu tragen (vgl. Martina Caroni in: Caroni/Gächter/Thurnherr [Hrsg.], a.a.O., Art. 50 N. 26). Angesichts des darüber hinaus klaglosen Verhaltens des Beschwerdeführers (siehe E. 9.3 hiernach) und der Distanz zum Herkunftsland sind die Voraussetzungen, unter denen einem Ausländer zur Ausübung seines Besuchsrechts gegenüber hierzulande anwesenheitsberechtigten Kindern der dauernde Aufenthalt bewilligt werden muss, prima vista erfüllt. Aufgrund der nachfolgenden Ausführungen braucht darüber (insbesondere über die Frage der Zumutbarkeit der Ausübung des Besuchsrechts vom Kosovo aus) indessen nicht abschliessend entschieden zu werden.</w:t>
      </w:r>
    </w:p>
    <w:p>
      <w:r>
        <w:rPr>
          <w:b/>
        </w:rPr>
        <w:t>E. 9.1</w:t>
      </w:r>
    </w:p>
    <w:p>
      <w:r>
        <w:t>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jeweils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S. 349 f. oder Martina Caroni in: Caroni/Gächter/Thurnherr [Hrsg.], a.a.O., Art. 50 N. 23 f.). Als insofern relevante Auslegungskriterien (vgl. E. 7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Schliesslich sind auch die Umstände, die zur Auflösung der Ehe geführt haben, zu berücksichtigen (vgl. BGE 137 II 1 E. 4.1 S. 7 f.).</w:t>
      </w:r>
    </w:p>
    <w:p>
      <w:r>
        <w:rPr>
          <w:b/>
        </w:rPr>
        <w:t>E. 9.2</w:t>
      </w:r>
    </w:p>
    <w:p>
      <w:r>
        <w:t>Selbst wenn man das Vorhandensein gemeinsamer Kinder allein nicht als anspruchsbegründend erachtete (siehe E. 8.3 und 8.4 hiervor), kommen im Falle des Beschwerdeführers spezifische, auf seiner Ehe bzw. deren Auflösung beruhende Gründe hinzu (vgl. wiederum BGE 137 II 345 E. 3.2.3 S. 349 f.). Der Betroffene lebt seit rund neun Jahren mit einer Aufenthaltsbewilligung in der Schweiz. Die eheliche Haushaltsgemeinschaft mit der niedergelassenen Landsfrau dauerte hierzulande knapp zwei Jahre. Bereits in dieser Zeit sind Härtefall begründende Elemente entstanden, die sich später noch akzentuierten. So hat der Beschwerdeführer gemäss den kantonalen Akten bereits eine Woche nach seiner Übersiedelung eine Erwerbstätigkeit aufgenommen. Seither arbeitet er beim selben Arbeitgeber als Pneumonteur. Die gute berufliche Integration schlägt sich in den Zwischenzeugnissen der "J._______ AG" vom 27. November 2009 und 12. November 2011 nieder, wonach er dank seiner Fachkenntnisse und vorbildlichem Einsatz seit Jahren eine wichtige Stütze im Betrieb darstelle. Dadurch erlangte er von allem Anfang an wirtschaftliche und finanzielle Unabhängigkeit und er war stets in der Lage, ohne Unterstützung durch die Sozialhilfe für den eigenen Lebensunterhalt und denjenigen seiner Familie zu sorgen (vgl. Bestätigung des So-zialamtes X._______/ZH vom 7. Februar 2012). Wie an anderer Stelle dargetan, ist der Beschwerdeführer seinen diesbezüglichen Verpflichtungen auch nach der Trennung und Scheidung anstandslos nachgekommen. Parallel dazu bildete er sich auf seinem Fachgebiet weiter. Inzwischen hat ihm sein Arbeitgeber die Mitverantwortung für das "Fahrzeug-Museum Bäretswil" übertragen (vgl. den dem Nachtrag vom 31. Juli 2012 beigelegten Artikel aus der "Schweizer Illustrierte").</w:t>
      </w:r>
    </w:p>
    <w:p>
      <w:r>
        <w:rPr>
          <w:b/>
        </w:rPr>
        <w:t>E. 9.3</w:t>
      </w:r>
    </w:p>
    <w:p>
      <w:r>
        <w:t>Aber nicht nur die berufliche und wirtschaftliche Integration, sondern auch die sprachliche Integration ist beachtlich. Den letzten Sprachtest schloss der Beschwerdeführer gemäss dem Sprachattest der "AKAD" vom 3. Juli 2012 mit der Höchstnote ab. Seine sprachliche Kompetenz lässt mit dem nunmehr erreichten Niveau C2 des gemeinsamen europäischen Referenzrahmens für Sprachen des Europarates keinerlei Wünsche offen. Im Vergleich dazu setzt Art. 62 Abs. 1 Bst. b VZAE für die vorzeitige Erteilung der Niederlassungsbewilligung wegen erfolgreicher Integration ein sprachliches Referenzniveau von lediglich A2 voraus (siehe dazu Urteil des BVGer C-7294/2008 vom 23. November 2011 E. 6.3 mit Hinweis). Auch die soziale Integration ist nicht zu beanstanden (Teilhabe an schulischem Leben der Tochter, Engagement in "Fahrzeug-Museum", etc.). Vor allem aber verfügt der Beschwerdeführer über einen unbescholtenen betreibungsrechtlichen Leumund und zu irgendwelchen Klagen Anlass gegeben hat er nie. Insoweit handelt es sich fraglos um eine erfolgreiche Integration, was ihm in der angefochtenen Verfügung ja auch seitens der Vorinstanz attestiert wird. Entscheidend ins Gewicht fällt bei all dem, dass diese Integrationsbemühungen wie angetönt zu einem Zeitpunkt einsetzten, als die Ehe mit der ersten Gattin noch intakt oder jedenfalls nicht definitiv gescheitert war. Es besteht in dieser Hinsicht mit anderen Worten ein hinreichend enger Zusammenhang zur ursprünglich anspruchsbegründenden Ehe. Da die jetzige Ehegattin des Beschwerdeführers seit Ende September 2009 wieder ununterbrochen im Kosovo lebt (siehe Abmeldebestätigung der Gemeinde X._______/ZH vom 28. September 2009), stellt eine Übersiedelung nach Frankreich schliesslich keine Option mehr dar.</w:t>
      </w:r>
    </w:p>
    <w:p>
      <w:r>
        <w:rPr>
          <w:b/>
        </w:rPr>
        <w:t>E. 9.4</w:t>
      </w:r>
    </w:p>
    <w:p>
      <w:r>
        <w:t>In Berücksichtigung sämtlicher Faktoren und Besonderheiten des Einzelfalles gelangt das Bundesverwaltungsgericht zum Schluss, dass der Beschwerdeführer gestützt auf Art. 8 EMRK bzw. Art. 50 Abs. 1 Bst b AuG (wichtiger persönlicher Grund im Sinne eines nachehelichen Härtefalles) einen Anspruch auf Verlängerung der Aufenthaltsbewilligung hat. Indem die Vorinstanz die Zustimmung zu einer weiteren Regelung des Anwesenheitsrechts hierzulande verweigert hat, erweist sich ihre Anordnung als rechtsfehlerhaft.</w:t>
      </w:r>
    </w:p>
    <w:p>
      <w:r>
        <w:rPr>
          <w:b/>
        </w:rPr>
        <w:t>E. 10</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11</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auszurichten.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