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C-2586/2012 vom 28. März 2014</w:t>
      </w:r>
    </w:p>
    <w:p>
      <w:r>
        <w:t>Bundesverwaltungsgericht, 2014-03-28, DE</w:t>
      </w:r>
    </w:p>
    <w:p>
      <w:r>
        <w:rPr>
          <w:b/>
        </w:rPr>
        <w:t xml:space="preserve">Quelle: </w:t>
      </w:r>
      <w:r>
        <w:t>https://mcp.opencaselaw.ch/entscheid/bvger_C-2586_2012</w:t>
      </w:r>
    </w:p>
    <w:p>
      <w:r>
        <w:t>FR: TAF C-2586/2012 du 28 mars 2014</w:t>
      </w:r>
    </w:p>
    <w:p>
      <w:r>
        <w:t>IT: TAF C-2586/2012 del 28 marzo 2014</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Verwaltungsverfahrensgesetz, soweit das Verwaltungsgerichtsgesetz nichts anderes bestimmt (vgl. Art. 37 VGG).</w:t>
      </w:r>
    </w:p>
    <w:p>
      <w:r>
        <w:rPr>
          <w:b/>
        </w:rPr>
        <w:t>E. 1.3</w:t>
      </w:r>
    </w:p>
    <w:p>
      <w:r>
        <w:t>Die Beschwerdeführerin ist gemäss Art. 48 Abs. 1 VwVG zur Be­schwerde berechtigt. Auf die im Übrigen frist- und formgerecht eingereichte Beschwerde ist einzutreten (vgl.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2011/43 E. 6.1 und BVGE 2011/1 E. 2).</w:t>
      </w:r>
    </w:p>
    <w:p>
      <w:r>
        <w:rPr>
          <w:b/>
        </w:rPr>
        <w:t>E. 3</w:t>
      </w:r>
    </w:p>
    <w:p>
      <w:r>
        <w:t>Der angefochtenen Verfügung liegt das Gesuch einer ghanaischen Staatsangehörigen um Erteilung eines Visums für einen zweimonatigen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vom 16. Dezember 2005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 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ihrer ghanaischen Staatsangehörigkeit unterliegt die Gesuchstellerin der Visumspflicht (vgl. Anhang I zur Verordnung [EG] Nr. 539/2001 [ABl. L 81 vom 21.03.2001 S. 1 7; zum vollständigen Quellennachweis vgl. Fussnote zu Art. 4 Abs. 1 VEV]). Bei der Prüfung der Einreisevoraussetzungen nach Art. 5 Abs. 1 SGK steht die Frage der gesicherten Wiederausreise im Vordergrund. Eine solche erachtet die Vorinstanz aufgrund der allgemeinen Situation im Heimatland und der persönlichen Verhältnisse der Gesuchstellerin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5.3.1</w:t>
      </w:r>
    </w:p>
    <w:p>
      <w:r>
        <w:t>Trotz der mehrheitlich positiven wirtschaftlichen Entwicklung Ghanas in den letzten Jahren lässt die Breitenwirksamkeit des Wirtschaftswachstums weiterhin zu wünschen übrig. Die weit verbreitete Armut und deren Bekämpfung stellen nach wie vor ungelöste Probleme dar (zur Wirtschaftslage vgl. die Länderinformationen auf der Webseite des Deutschen Auswärtigen Amtes: www.auswaertiges-amt.de &gt; Reise &amp; Sicherheit &gt; Reise- und Sicherheitshinweise: Länder A-Z &gt; Auswahl Ghana &gt; Wirtschaftspolitik, Stand: April 2013, besucht im März 2014).</w:t>
      </w:r>
    </w:p>
    <w:p>
      <w:r>
        <w:rPr>
          <w:b/>
        </w:rPr>
        <w:t>E. 5.3.2</w:t>
      </w:r>
    </w:p>
    <w:p>
      <w:r>
        <w:t>Eine Folge dieser Situation ist eine anhaltend hohe Emigration ghanaischer Staatsangehöriger, nicht zuletzt nach Nordamerika und Europa. Ghana hat sich gegen Ende des 20. Jahrhunderts zu einem der Hauptemigrationsländer Westafrikas entwickelt. Die Migration umfasst sowohl qualifizierte als auch unqualifizierte Arbeitskräfte, wobei der Anteil von Frauen markant hoch ist. In Deutschland sollen unter der ausländischen Bevölkerung ghanaischer Herkunft sogar mehr Frauen als Männer sein (vgl. Dr. Nadine Sieveking und Margrit Fauser, Migrationsdynamiken und Entwicklung in Westafrika: Untersuchungen zur entwicklungspolitischen Bedeutung von Migration in und aus Ghana und Mali, COMCAD Arbeitspapiere No. 68, 2009 [im Internet zu finden unter: www.afrique-europe-interact.net &gt; Themen &gt; Afrika &amp; Migration &gt; Westafrika], S. 37 ff.). Mit Ausnahme des Gesundheitssektors wurden seitens der ghanaischen Regierung bisher keine Anstrengungen unternommen, um die Migration der Bildungseliten zu verhindern. Dies vor allem wegen der grossen ökonomischen Bedeutung von Rücküberweisungen ghanaischer Migranten, die nach Kakao und Gold den drittgrössten Devisenbringer darstellen. Der Anteil von Rücküberweisungen am ghanaischen Bruttoinlandprodukt wird auf 13% bis 15% geschätzt (a.a.O. S. 48, Fn. 34).</w:t>
      </w:r>
    </w:p>
    <w:p>
      <w:r>
        <w:rPr>
          <w:b/>
        </w:rPr>
        <w:t>E. 5.3.3</w:t>
      </w:r>
    </w:p>
    <w:p>
      <w:r>
        <w:t>Im Falle der Schweiz wird die Tendenz zur Immigration erfahrungsgemäss dort noch begünstigt, wo durch die Anwesenheit von Verwandten oder Freunden bereits ein minimales soziales Beziehungsnetz besteht. Angesichts der restriktiven Zulassungsregelung werden dabei nicht selten ausländerrechtliche Regelungen umgangen, indem versucht wird, den Aufenthalt - einmal eingereist - auf eine ganz andere rechtliche oder faktische Basis zu stellen und sich so der Pflicht zur Wiederausreise zu entziehen.</w:t>
      </w:r>
    </w:p>
    <w:p>
      <w:r>
        <w:rPr>
          <w:b/>
        </w:rPr>
        <w:t>E. 5.4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6.1</w:t>
      </w:r>
    </w:p>
    <w:p>
      <w:r>
        <w:t>Bei der Gesuchstellerin handelt es sich um eine 27-jährige, unverheiratete Frau. Die Schweizerische Vertretung und mit ihr auch die Vorinstanz waren noch davon ausgegangen, dass sie keine Kinder hat. Demgegenüber wurde im Verlaufe des Beschwerdeverfahrens geltend gemacht, dass die Gesuchstellerin eine anfangs Dezember 2009 geborene Tochter habe. Dieses Kind würde während der Abwesenheit seiner Mutter im Heimatland verbleiben und von einer Tante betreut werden. Über den Vater des Kindes ist nichts bekannt; er ist selbst auf dem edierten Auszug aus dem Geburtsregister nicht erwähnt. Aus der solchermassen neu geltend gemachten Mutterschaft kann die Beschwerdeführerin allerdings unter dem Gesichtspunkt der Gewähr für eine Wiederausreise aus der Schweiz nichts Entscheidendes für sich ableiten. Denn die Erfahrung zeigt, dass selbst eigene, im Heimatland zurückbleibende Kinder nicht zwingend von einer Emigration abhalten, wenn eine Betreuung während der Abwesenheit sichergestellt ist und die theoretische Möglichkeit besteht, diese Kinder später nachziehen zu können.</w:t>
      </w:r>
    </w:p>
    <w:p>
      <w:r>
        <w:rPr>
          <w:b/>
        </w:rPr>
        <w:t>E. 6.2</w:t>
      </w:r>
    </w:p>
    <w:p>
      <w:r>
        <w:t>Die Beschwerdeführerin macht weiter geltend, die Gesuchstellerin gehe in einem Anstellungsverhältnis einer Erwerbstätigkeit nach und sie wolle ihre Arbeit nicht verlieren. Nun ist allerdings die Gefahr eines Arbeitsplatzverlustes entscheidend zu relativieren. Denn das Geschäft, in welchem die Gesuchstellerin ein Anstellungsverhältnis als Verkäuferin für Baumaterialien hat, gehört erklärtermassen einem Verwandten. Über die Anstellungsmodalitäten (Arbeitspensum, ordentliche Ferienansprüche, Lohn usw.) ist überhaupt nichts bekannt. Ebenso wenig ergibt sich aus den Akten, in welchen wirtschaftlichen Verhältnissen die Gesuchstellerin lebt.</w:t>
      </w:r>
    </w:p>
    <w:p>
      <w:r>
        <w:rPr>
          <w:b/>
        </w:rPr>
        <w:t>E. 6.3</w:t>
      </w:r>
    </w:p>
    <w:p>
      <w:r>
        <w:t>Schliesslich gilt zu bedenken, dass Migration im engsten familiären Umkreis der Gesuchstellerin schon verwirklicht wurde. Emigriert ist nicht nur ihre Mutter, sondern offenbar auch ihr einziger Bruder, der heute in Belgien lebt. Schon vor diesem Hintergrund kann nicht mit der nötigen Wahrscheinlichkeit ausgeschlossen werden, dass die Gesuchstellerin, einmal hier, versucht sein könnte, sich ihre Zukunft ebenfalls in der Schweiz oder sonst wo in Europa aufzubauen.</w:t>
      </w:r>
    </w:p>
    <w:p>
      <w:r>
        <w:rPr>
          <w:b/>
        </w:rPr>
        <w:t>E. 6.4</w:t>
      </w:r>
    </w:p>
    <w:p>
      <w:r>
        <w:t>Die Vorinstanz durfte unter den gegebenen Umständen willkürfrei davon ausgehen, dass die fristgerechte und anstandslose Wiederausreise der Gesuchstellerin nach einem Besuchsaufenthalt nicht genügend gewährleistet ist. Damit sind die Voraussetzungen für die Erteilung eines sogenannten "einheitlichen Visums", das für den gesamten SchengenRaum gilt, nicht erfüllt.</w:t>
      </w:r>
    </w:p>
    <w:p>
      <w:r>
        <w:rPr>
          <w:b/>
        </w:rPr>
        <w:t>E. 7</w:t>
      </w:r>
    </w:p>
    <w:p>
      <w:r>
        <w:t>Bleibt zu prüfen, ob die Voraussetzungen für die Ausstellung eines Visums mit räumlich beschränkter Gültigkeit gegeben sind (vgl. E. 4.5). Ein solches kann - wie erwähnt - erteilt werden, wenn ein Mitgliedstaat es aus humanitären Gründen, aus Gründen des nationalen Interesses oder aufgrund internationaler Verpflichtungen für erforderlich hält, von den allgemeinen Einreisevoraussetzungen abzuweichen.</w:t>
      </w:r>
    </w:p>
    <w:p>
      <w:r>
        <w:rPr>
          <w:b/>
        </w:rPr>
        <w:t>E. 7.1</w:t>
      </w:r>
    </w:p>
    <w:p>
      <w:r>
        <w:t>Beim Entscheid, ob ein Visum aus humanitären Gründen zu erteilen sei, darf der betreffende Schengen-Mitgliedstaat allerdings die Voraussetzungen für ein Abweichen von den allgemeinen Einreisevoraussetzungen nicht leichthin annehmen. In Beachtung des Grundsatzes der loyalen Zusammenarbeit, auf dem das Schengen-System beruht (vgl. Urteil des Gerichtshofes der Europäischen Gemeinschaften [EuGH] vom 31. Januar 2006 in der Rechtssache C-503/03, Kommission der Europäischen Gemeinschaften gegen Königreich Spanien, Randnr. 37 und 56), muss der Mitgliedstaat vielmehr dem Umstand angemessen Rechnung tragen, dass sein Entscheid über die Erteilung eines Visums mit räumlich beschränkter Gültigkeit nicht nur eigene Interessen berührt, sondern infolge des Wegfalles der Personenkontrollen an den Innengrenzen des Schengen-Raums auch die Interessen der übrigen Schengen-Staaten beeinträchtigen kann. Insoweit ist jeder Schengen-Staat Sachwalter der eigenen Interessen und der Interessen aller übrigen Schengen-Staaten (vgl. BVGE 2011/48 E. 4.6 und 6.1 sowie Urteil des Bundesverwaltungsgerichts C-4852/2011 vom 20. März 2013 E. 7.1 mit weiteren Hinweisen).</w:t>
      </w:r>
    </w:p>
    <w:p>
      <w:r>
        <w:rPr>
          <w:b/>
        </w:rPr>
        <w:t>E. 7.2</w:t>
      </w:r>
    </w:p>
    <w:p>
      <w:r>
        <w:t>Die Beschwerdeführerin macht geltend, ihre Tochter seit dem Jahre 2008 nicht mehr gesehen zu haben. Reisen zu ihr nach Ghana seien - vorerst wegen der Erkrankung des Ehemannes und Stiefvaters, später wegen ihrer eigenen gesundheitlichen Beschwerden - unmöglich geworden.</w:t>
      </w:r>
    </w:p>
    <w:p>
      <w:r>
        <w:rPr>
          <w:b/>
        </w:rPr>
        <w:t>E. 7.2.1</w:t>
      </w:r>
    </w:p>
    <w:p>
      <w:r>
        <w:t>Der persönliche Kontakt zwischen der Beschwerdeführerin und ihrer Tochter stellt zweifellos eine unter den Schutz von Art. 8 der Konvention vom 4. November 1950 zum Schutze der Menschenrechte und Grundfreiheiten (EMRK, SR 0.101) und von Art. 13 Abs. 1 der Bundesverfassung der Schweizerischen Eidgenossenschaft vom 18. April 1999 (BV; SR 101) fallende familiäre Beziehung dar. Daraus kann die Beschwerdeführerin jedoch in vorliegendem Zusammenhang nichts Besonderes für sich ableiten. Denn nur Beeinträchtigungen des Familienlebens von gewisser Mindestschwere stellen rechtfertigungsbedürftige Eingriffe in die genannten Garantien dar. Dass diese Mindestschwere im vorliegenden Fall erreicht wird, scheint unter den gegebenen Umständen fraglich. Doch selbst wenn von einer entsprechenden Schwere auszugehen wäre, handelte es sich bei der Einreiseverweigerung nur um einen eher untergeordneten Eingriff in das Familienleben, der durch die auf dem Spiel stehenden öffentlichen Interessen gerechtfertigt ist (Art. 8 Ziff. 2 EMRK, Art. 36 BV).</w:t>
      </w:r>
    </w:p>
    <w:p>
      <w:r>
        <w:rPr>
          <w:b/>
        </w:rPr>
        <w:t>E. 7.2.2</w:t>
      </w:r>
    </w:p>
    <w:p>
      <w:r>
        <w:t>Die Beschwerdeführerin und ihr Ende 2011 verstorbener Ehemann hatten gemäss ihren Angaben im Jahre 2003 in Ghana geheiratet und zunächst dort gelebt. 2004 siedelten sie in die Schweiz über. Bis ins Jahr 2008 reisten die Beiden einmal jährlich nach Ghana und hielten sich dort während zweier Monate auf. Dass die Beschwerdeführerin während der ernsthaften Erkrankung ihres Mannes und bis zu dessen Tod keine Möglichkeit mehr hatte, Heimatreisen zu unternehmen, mag zutreffen; zumal sie ihn offenbar auch pflegte. Hingegen kann aus den sie selbst betreffenden ärztlichen Attesten (des Hausarztes und des Stadtspitals Triemli in Zürich) nicht geschlossen werden, die Beschwerdeführerin sei heute und auf unbestimmte Zeit aus gesundheitlichen Gründen nicht in der Lage, nach Ghana zu reisen. Die Atteste äussern sich überhaupt nicht zur Frage der Reisefähigkeit.</w:t>
      </w:r>
    </w:p>
    <w:p>
      <w:r>
        <w:rPr>
          <w:b/>
        </w:rPr>
        <w:t>E. 7.2.3</w:t>
      </w:r>
    </w:p>
    <w:p>
      <w:r>
        <w:t>Entsprechend kann nicht als erstellt erachtet werden, dass die Realisierung persönlicher Kontakte zwischen der Beschwerdeführerin und der Gesuchstellerin nur in der Schweiz möglich wäre.</w:t>
      </w:r>
    </w:p>
    <w:p>
      <w:r>
        <w:rPr>
          <w:b/>
        </w:rPr>
        <w:t>E. 7.3</w:t>
      </w:r>
    </w:p>
    <w:p>
      <w:r>
        <w:t>Insgesamt können die geltend gemachten privaten Interessen im vorliegenden Fall das öffentliche Interesse an der Einhaltung der Einreisevorschriften nicht überwiegen. Die Voraussetzungen für die Ausstellung eines Visums mit räumlich beschränkter Gültigkeit sind daher nicht gegeben.</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wird die unterliegende Beschwerdeführerin kostenpflichtig (Art. 63 Abs. 1 VwVG, Art. 1, 2 und 3 Bst. b des Reglements vom 21. Februar 2008 über die Kos­ten und Entschädigungen vor dem Bundesverwaltungsgericht [SR 173.320.2]).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