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C-2582/2019 vom 14. Juli 2021</w:t>
      </w:r>
    </w:p>
    <w:p>
      <w:r>
        <w:t>Bundesverwaltungsgericht, 2021-07-14, FR</w:t>
      </w:r>
    </w:p>
    <w:p>
      <w:r>
        <w:rPr>
          <w:b/>
        </w:rPr>
        <w:t xml:space="preserve">Quelle: </w:t>
      </w:r>
      <w:r>
        <w:t>https://mcp.opencaselaw.ch/entscheid/bvger_C-2582_2019</w:t>
      </w:r>
    </w:p>
    <w:p>
      <w:r>
        <w:t>FR: TAF C-2582/2019 du 14 juillet 2021</w:t>
      </w:r>
    </w:p>
    <w:p>
      <w:r>
        <w:t>IT: TAF C-2582/2019 del 14 luglio 2021</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a effectué le paiement de l'avance de frais dans le délai imparti (art. 63 al. 4 PA), le recours du 27 mai 2019 est recevable quant à la forme.</w:t>
      </w:r>
    </w:p>
    <w:p>
      <w:r>
        <w:rPr>
          <w:b/>
        </w:rPr>
        <w:t>E. 2.1</w:t>
      </w:r>
    </w:p>
    <w:p>
      <w:r>
        <w:t>Concernant le droit matériel applicable, l'affaire présente un aspect transfrontalier dans la mesure où le recourant, ressortissant portugais, vivant au Portugal - Etat membre de l'Union européenne (UE) - a travaillé et versé des cotisations aux assurances sociales en Suisse de 1985 à 1992 (OAIE pce 47, annexes à TAF pce 10).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 Il sied de souligner que l'octroi d'une rente étrangère d'invalidité ne préjuge pas l'appréciation de l'invalidité selon la loi suisse (arrêt du TFA I 435/02 du 4 février 2003 consid. 2).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TFA I 376/05 du 5 août 2005 consid. 3.1), étant précisé que la documentation médicale et administrative fournie par les institutions de sécurité sociale d'un autre Etat membre doit être prise en considération (art. 49 al. 2 du règlement [CE] n° 987/2009). Les instances des assurances sociales suisses, dont l'OAIE et les tribunaux, ne sont donc pas liées par les décisions des autorités étrangères en matière d'assurances sociales (ATF 130 V 253 consid. 2.4).</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 Vu la décision litigieuse du 10 avril 2019 (OAIE pce 52), les dispositions du droit suisse en vigueur dans leur teneur jusqu'au 10 avril 2019 sont applicables au cas d'espèce.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Le présent litige, dont l'objet est délimité par les conclusions du recourant, porte sur la question de savoir si le recourant a droit à une rente d'invalidité suisse, respectivement si la décision querellée du 10 avril 2019 se révèle bien fondée (ATF 125 V 413 consid. 1a p. 414 ; Meyer/Von Zwehl, L'objet du litige en procédure de droit administratif fédéral, in : Mélanges Pierre Moor, Berne 2005, n° 8 p. 439).</w:t>
      </w:r>
    </w:p>
    <w:p>
      <w:r>
        <w:rPr>
          <w:b/>
        </w:rPr>
        <w:t>E. 4</w:t>
      </w:r>
    </w:p>
    <w:p>
      <w:r>
        <w:t>A titre initial, il est rappelé que, conformément à l'art. 36 al. 1 LAI, a droit à une rente ordinaire l'assuré qui, lors de la survenance de l'invalidité, compte trois années au moins de cotisation à l'AVS/AI dont au moins une année en Suisse lorsque la personne intéressée a été assujettie à la législation de deux ou plusieurs Etats membres de l'Union européenne (cf. FF 2005 p. 4065 et les art. 6, 46 par. 1 et 57 par. 1 du règlement n°883/2004). En l'occurrence, le recourant ayant cotisé pendant 8 ans de manière non continue à l'assurance-vieillesse, survivants et invalidité suisse (annexe TAF pce 10), remplit la condition de la durée minimale de cotisation.</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w:t>
      </w:r>
    </w:p>
    <w:p>
      <w:r>
        <w:rPr>
          <w:b/>
        </w:rPr>
        <w:t>E. 5.2</w:t>
      </w:r>
    </w:p>
    <w:p>
      <w:r>
        <w:t>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5.3</w:t>
      </w:r>
    </w:p>
    <w:p>
      <w:r>
        <w:t>En vertu de l'art. 29 al. 1 LAI, le droit à la rente prend naissance au plus tôt à l'échéance d'une période de six mois à compter de la date à laquelle l'assuré a fait valoir son droit aux prestations conformément à l'art. 29 al.1 LPGA (délai de carence ; ATF 142 V 547 consid. 3.2 ; voir aussi ATF 140 V 2 consid. 5.3). L'al. 3 de l'art. 29 LAI prévoit que la rente est versée dès le début du mois au cours duquel le droit prend naissance.</w:t>
      </w:r>
    </w:p>
    <w:p>
      <w:r>
        <w:rPr>
          <w:b/>
        </w:rPr>
        <w:t>E. 5.4</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5.5</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6.1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6.2</w:t>
      </w:r>
    </w:p>
    <w:p>
      <w:r>
        <w:t>Ainsi, le point de départ de l'examen du droit aux prestations est l'ensemble des éléments et constatations médicales. L'élément déterminant pour reconnaitre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ou que des circonstances particulières ne fondent objectivement des doutes quant à l'impartialité ou au bien-fondé de l'évaluation (ATF 135 V 465 consid. 4.4 ; ATF 125 V 351 consid. 3b/bb ; ATF 122 V 157 consid. 1c ; TF 9C_575/205 du 23 mars 2016 consid. 5.2 ; arrêt du TFA I 701/04 du 27 juillet 2005 consid. 2.1.2).</w:t>
      </w:r>
    </w:p>
    <w:p>
      <w:r>
        <w:rPr>
          <w:b/>
        </w:rPr>
        <w:t>E. 6.3</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Ils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 Selon la jurisprudence, il n'est pas interdit aux tribunaux des assurances de se fonder uniquement ou principalement sur les rapports internes de médecins conseils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6.4</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6.5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w:t>
      </w:r>
    </w:p>
    <w:p>
      <w:r>
        <w:t>En l'occurrence, le recourant est d'avis de ne plus pouvoir exercer, en raison de ses atteintes, une quelconque activité et requiert l'octroi d'une rente entière d'invalidité. Quant à l'autorité inférieure, elle lui reconnaît une pleine capacité de travail dans toute activité exercée en position assise ou alternée, ne nécessitant pas de rotation du tronc, de se pencher, de travailler accroupi, à genou ou avec les bras au-dessus de la tête et n'impliquant pas non plus des mouvements répétitifs, de porter des charges de plus de 8 kg, de se déplacer sur un terrain irrégulier et d'utiliser des échelles ou échafaudages. Pour ce faire, l'OAIE se fonde essentiellement sur les appréciations de son médecin-conseil, le Dr L._______, des 26 septembre et 24 novembre 2018, 18 janvier et 8 avril 2019 (OAIE pces 25, 39, 44 et 51).</w:t>
      </w:r>
    </w:p>
    <w:p>
      <w:r>
        <w:rPr>
          <w:b/>
        </w:rPr>
        <w:t>E. 7.1</w:t>
      </w:r>
    </w:p>
    <w:p>
      <w:r>
        <w:t>Cela étant, contrairement à ce que soutient l'autorité précédente, on ne voit pas que les avis du Dr L._______ suffisent à établir, au degré de preuve requis, les circonstances médicales au cas d'espèce pertinentes.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 entre autres: TF 9C_335/2015 du 1er septembre 2015). Or, les circonstances médicales du cas d'espèce n'apparaissent pas à ce point dépourvues d'équivoques pour être tranchées sur la base essentiellement des appréciations purement documentaires fournies les 26 septembre et 24 novembre 2018, ainsi que les 18 janvier et 8 avril 2019 par le médecin du service médical interne de l'OAIE. Certes, le dossier contient plusieurs rapports médicaux résultant de l'examen personnel de l'assuré et retranscrivant les constatations cliniques effectuées. Le médecin du service médical interne de l'OAIE pose en effet les diagnostics d'hernie discale cervicale et de périarthropathie de l'épaule gauche. Il appert cependant des rapports médicaux versés au dossier que le recourant souffre encore notamment de tendinopathies dégénératives, d'une attitude scoliotique de convexité gauche, de phénomènes ostéophytiques de certains corps vertébraux au niveau dorsal (OAIE pces 17 et 18), d'un syndrome du canal carpien modéré à droite (OAIE pce 11), de protrusions discales postérieures en C3 et C7 (OAIE pces 9 et 10), d'une atrophie neurogène du triceps brachial à gauche (OAIE pce 7), d'un gonflement au niveau de la main autour du tendon court extenseur radial du carpe jusque dans les tendons longs extenseurs des doigts (OAIE pce 2), d'un éventuel angiome vertébral en C3 (OAIE pce 4), d'une neuropathie chronique (OAIE pce 15), de cervicobrachialgies, de déficits sensoriels au niveau du segment brachial distal (OAIE pce 16) et d'une diminution de la force musculaire et de la prise des doigts à gauche (OAIE pces 23 et 31). Quand bien même lesdits rapports ne sont pas exhaustifs, ne contenant pas d'anamnèse complète, ni d'analyse du dossier entier et que lesdites affections ne sont ni étayées, ni motivées, ils permettent cependant de douter de l'exhaustivité des diagnostics retenus par le médecin du service médical interne de l'OAIE. De surcroît, ses prises de position se bornent à fournir un résumé succinct de l'anamnèse du recourant, sans même chercher à recomposer son tableau clinique eu égard aux constatations des autres médecins consultés. Eu égard aux constats précédents, le Tribunal relève que le médecin du service médical interne de l'OAIE ne s'est pas prononcé sur toutes les atteintes à la santé dont souffre le recourant et n'a pas expliqué pour quelles raisons il convenait de les écarter. Bien que la valeur probante de certains rapports médicaux est limitée, ils suffisent à semer un doute sur l'existence éventuelle d'une ou de plusieurs affections invalidantes. Le Tribunal n'est pas en mesure de retenir à la vraisemblance prépondérante que le recourant ne souffre que des diagnostics retenus par le Dr L._______. Le dossier d'instruction présente dès lors des lacunes d'ordre médical.</w:t>
      </w:r>
    </w:p>
    <w:p>
      <w:r>
        <w:rPr>
          <w:b/>
        </w:rPr>
        <w:t>E. 7.2</w:t>
      </w:r>
    </w:p>
    <w:p>
      <w:r>
        <w:t>Le médecin du service médical interne de l'OAIE a en outre évalué les limitations fonctionnelles du recourant en expliquant que ce dernier doit pouvoir travailler en position assise ou alternée, ne nécessitant pas de rotation du tronc, de se pencher, de travailler accroupi, à genou ou avec les bras au-dessus de la tête et n'impliquant pas non plus des mouvements répétitifs, de porter des charges de plus de 8 kg, de se déplacer sur un terrain irrégulier et d'utiliser des échelles ou échafaudages (OAIE pce 44). Il appert que les médecins consultés au Portugal n'ont pas décrit les limitations du recourant, à l'exception du Dr I._______, spécialiste orthopédique et du Dr K._______, dont la spécialisation est inconnue, qui ont retenu que le recourant n'est pas en mesure d'exercer une activité exigeant des efforts physiques intenses et continus, des positions strictes, des périodes de marche et de position debout prolongées (OAIE pces 16, 23, 31 p. 5 et 48). Au vu des avis médicaux précités, le Tribunal de céans observe que les limitations fonctionnelles retenues par le médecin du service médical interne de l'OAIE dépassent les limitations retenues par les médecins ayant examiné le recourant et qui sont pour la plupart des spécialistes dans leur domaine médical respectif, et ne trouvent pas appui sur les observations de ses confrères portugais, lorsque dites observations existent effectivement. Le Dr L._______, médecin spécialisé en médecine interne générale, n'était pas en mesure de se prononcer de manière plus étendue sur les limitations fonctionnelles du recourant que ses confrères spécialistes. Le Tribunal de céans ne peut dès lors confirmer les limitations fonctionnelles retenues par le médecin du service médical interne de l'OAIE.</w:t>
      </w:r>
    </w:p>
    <w:p>
      <w:r>
        <w:rPr>
          <w:b/>
        </w:rPr>
        <w:t>E. 7.3</w:t>
      </w:r>
    </w:p>
    <w:p>
      <w:r>
        <w:t>S'agissant de l'incapacité de travail, le Dr L._______ considère que le recourant n'est plus en mesure d'exercer son activité habituelle de soudeur depuis le 10 mars 2016 (OAIE pce 44). Le Dr I._______ est aussi de cet avis, sans toutefois préciser la date du début de l'incapacité de travail (OAIE pces 16, 31, 33, 48). Le Dr J._______, médecin de la sécurité sociale portugaise dont la spécialisation n'est pas connue, a en revanche noté que la pathologie dont souffre le recourant n'est pas incompatible avec son activité habituelle (OAIE pce 8). Quant aux autres médecins consultés au Portugal, ils ne se prononcent pas sur la capacité de travail du recourant dans sa profession habituelle (OAIE pces 1 à 11, 15 à 18, 23). Le Dr L._______estime cependant que le recourant présente une capacité de travail totale dans une activité adaptée aux limitations retenues et ce, depuis le 1er juillet 2016, soit 3 mois après l'opération qu'il a subie en date du 10 mars 2016 (OAIE pce 44). Aucun des médecins consultés au Portugal ne se prononcent en revanche sur la capacité de travail résiduelle du recourant dans une activité adaptée. Ainsi, le Tribunal de céans remarque que le médecin du service médical interne de l'OAIE évalue la capacité de travail du recourant dans son activité habituelle et dans une activité adaptée sans véritablement justifier son appréciation (cf. OAIE pces 39 et 44). Or, vu les avis inexistants des médecins portugais à ce propos, qui sont pour la plupart des spécialistes dans leur domaine respectif, on ne parvient pas à identifier les circonstances prises en compte par le Dr L._______ pour notamment admettre une capacité de travail totale dans une activité adaptée. Le Tribunal de céans constate en outre que le médecin du service médical interne de l'OAIE, spécialiste en médecine interne générale, ne dispose pas des connaissances suffisantes pour se prononcer sur l'incapacité de travail du recourant dans son activité habituelle et dans une activité adaptée. Sur la base des rapports médicaux présents au dossier, il n'est pas non plus en mesure de reprendre le taux d'incapacité de travail du recourant dans son activité habituelle et dans une activité adaptée, étant rappelé qu'à l'exception des Dr I._______ et J._______, qui se sont prononcés de manière contradictoire sur l'incapacité de travail du recourant dans son activité habituelle, les autres médecins portugais spécialistes ne se sont pas prononcés sur les taux d'incapacité de travail du recourant tant dans son activité habituelle que dans une activité adaptée.</w:t>
      </w:r>
    </w:p>
    <w:p>
      <w:r>
        <w:rPr>
          <w:b/>
        </w:rPr>
        <w:t>E. 8.1</w:t>
      </w:r>
    </w:p>
    <w:p>
      <w:r>
        <w:t>En conclusion, l'OAIE ne pouvait rendre une décision en s'appuyant exclusivement sur les prises de position du Dr L._______, établies sans examen personnel du recourant, sur la base des rapports et certificats médicaux évoqués précédemment, lesquels sont incomplets et fondent un doute quant aux atteintes à la santé du recourant. Partant, de forts doutes subsistent quant à la pertinence des prises de position du Dr L._______, dont la valeur probante est de surcroît limitée, le médecin du service médical interne de l'OAIE en question ne disposant pas de connaissances spécifiques en matière de rhumatologie, de neurologie et de neurochirurgie, pourtant indispensables au regard de la complexité du cas d'espèce. Par conséquent, l'état de santé réel du recourant n'est pas établi.</w:t>
      </w:r>
    </w:p>
    <w:p>
      <w:r>
        <w:rPr>
          <w:b/>
        </w:rPr>
        <w:t>E. 8.2</w:t>
      </w:r>
    </w:p>
    <w:p>
      <w:r>
        <w:t>Compte tenu des lacunes relevées et des divers diagnostics posés par des spécialistes, à l'issue d'un examen sur la personne de l'assuré, l'examen du présent cas d'espèce ne se résume pas à l'appréciation d'un état de fait médical non contesté et établi de manière concordante par les médecins, bien au contraire. Dans ces circonstances, l'OAIE ne pouvait pas statuer sur la seule base des prises de position établies sur dossier par son service médical interne. Compte tenu des doutes planant sur l'état de santé du recourant, ainsi que sur l'incidence des diagnostics retenus sur la capacité de travail et les limitations fonctionnelles de celui-ci, une instruction complémentaire du dossier aurait dû être requise (ATF 135 V 465 con-sid.4.6). Il y a par conséquent lieu d'annuler la décision entreprise et de renvoyer le dossier à l'autorité inférieure en application de l'art. 61 al. 1 PA afin qu'elle complète son instruction en ordonnant la mise en oeuvre d'une expertise pluridisciplinaire à tout le moins dans les disciplines de la rhumatologie, de la médecine interne générale, de la neurologie et de la neurochirurgie auprès d'experts indépendants (art. 44 LPGA), dans le respect des droits de participation de l'assuré (ATF 137 V 210 consid. 3.4.2.9) et de l'art. 72bis RAI (ATF 139 V 349 consid. 5.2.1). Les experts seront invités à se prononcer de façon précise et appropriée sur l'état de santé ainsi que sur l'incidence de l'ensemble des affections diagnostiquées sur la capacité de travail du recourant dans sa précédente profession de soudeur en métallurgie et dans des activités lucratives adaptées à son état de santé, ainsi que sur les limitations fonctionnelles entravant sa capacité de travail. Ils procèderont à cette évaluation en considération de l'état de santé présenté par le recourant et son évolution jusqu'au jour de l'expertise (arrêt du TAF C-2039/2017 du 6 mars 2019 consid. 10.4). Si d'autres évaluations que celles initialement retenues dans les domaines précités se révèlent nécessaires, ils en ordonneront la mise en oeuvre, attendu qu'il est en dernier ressort de leur devoir d'expert de déterminer la nature des évaluations médicales permettant de répondre au questionnaire qui leur est soumis dans le cas d'espèce (arrêt du TF 8C_124/2008 du 17 octobre 2008 consid. 6.3.1). Cette nouvelle expertise sera effectuée en Suisse, l'organisme mandaté devant maîtriser les principes d'évaluation prévalant dans la médecine d'assurance suisse (arrêt du TF 9C_235/2013 du 10 septembre 2013 consid. 3). Le recourant étant domicilié au Portugal, l'on ne voit pas, de surcroît, les motifs pour lesquels l'exécution en Suisse de cette expertise pourrait se révéler une mesure disproportionnée. Bien que le renvoi doive rester exceptionnel compte tenu de l'exigence de célérité de la procédure (art. 29 de la Constitution fédérale [Cst., RS 101]), il est en l'occurrence justifié dès lors que l'autorité inférieure n'a pas instruit les questions déterminantes pour l'examen du droit aux prestations, l'instruction de l'affaire sur le plan médical étant incomplète (ATF 137 V 210 consid. 4.4.1.4 ; arrêt du TF 8C_633/2014 du 11 décembre 2014 consid. 3.2).</w:t>
      </w:r>
    </w:p>
    <w:p>
      <w:r>
        <w:rPr>
          <w:b/>
        </w:rPr>
        <w:t>E. 8.3</w:t>
      </w:r>
    </w:p>
    <w:p>
      <w:r>
        <w:t>Vu ce qui précède, le recours contre la décision du 10 avril 2019 est fondé et doit être admis, la cause étant renvoyée à l'autorité inférieure pour instruction complémentaire et nouvelle décision.</w:t>
      </w:r>
    </w:p>
    <w:p>
      <w:r>
        <w:rPr>
          <w:b/>
        </w:rPr>
        <w:t>E. 9.1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800.- (TAF pces 2 et 7) lui sera restituée dès l'entrée en force du présent arrêt.</w:t>
      </w:r>
    </w:p>
    <w:p>
      <w:r>
        <w:rPr>
          <w:b/>
        </w:rPr>
        <w:t>E. 9.2</w:t>
      </w:r>
    </w:p>
    <w:p>
      <w:r>
        <w:t>Conformément aux art. 64 al. 1 PA et art. 7 al.1 du règlement concernant les frais, dépens et indemnités fixés par le Tribunal administratif fédéral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Ainsi, en l'espèce, il convient d'allouer au recourant, à charge de l'OAIE, une indemnité à titre de dépens fixée à Fr. 2'800.- (cf. TAF C-4872/2017 du 16 octobre 2019 consid.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