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C-257/2009 vom 24. Oktober 2011</w:t>
      </w:r>
    </w:p>
    <w:p>
      <w:r>
        <w:t>Bundesverwaltungsgericht, 2011-10-24, DE</w:t>
      </w:r>
    </w:p>
    <w:p>
      <w:r>
        <w:rPr>
          <w:b/>
        </w:rPr>
        <w:t xml:space="preserve">Quelle: </w:t>
      </w:r>
      <w:r>
        <w:t>https://mcp.opencaselaw.ch/entscheid/bvger_C-257_2009</w:t>
      </w:r>
    </w:p>
    <w:p>
      <w:r>
        <w:t>FR: TAF C-257/2009 du 24 octobre 2011</w:t>
      </w:r>
    </w:p>
    <w:p>
      <w:r>
        <w:t>IT: TAF C-257/2009 del 24 ottobre 2011</w:t>
      </w:r>
    </w:p>
    <w:p>
      <w:pPr>
        <w:pStyle w:val="Heading2"/>
      </w:pPr>
      <w:r>
        <w:t>Regeste</w:t>
      </w:r>
    </w:p>
    <w:p>
      <w:r>
        <w:t>Rentenanspruch</w:t>
      </w:r>
    </w:p>
    <w:p>
      <w:pPr>
        <w:pStyle w:val="Heading2"/>
      </w:pPr>
      <w:r>
        <w:t>Erwägungen</w:t>
      </w:r>
    </w:p>
    <w:p>
      <w:r>
        <w:rPr>
          <w:b/>
        </w:rPr>
        <w:t>E. 1</w:t>
      </w:r>
    </w:p>
    <w:p>
      <w:r>
        <w:t>Angefochten sind zwei Verfügungen der Vorinstanz vom 18. No­vember 2008, mit welcher dem Beschwerdeführer rückwirkend ab dem 1. Juli 2006 eine ordentliche Viertelsrente und mit Wirkung vom 1. Juli 2006 bis zum 30. November 2007 eine ordentliche Kinderrente zugesprochen wurde. Zudem wendet sich der Beschwerdeführer gegen die Mitteilung der K.________ vom 28. November 2008.</w:t>
      </w:r>
    </w:p>
    <w:p>
      <w:r>
        <w:rPr>
          <w:b/>
        </w:rPr>
        <w:t>E. 1.1</w:t>
      </w:r>
    </w:p>
    <w:p>
      <w:r>
        <w:t>Das Verfahren vor dem Bundesverwaltungsgericht richtet sich im Wesentlichen nach den Vorschriften den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 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keine Ausnahme nach Art. 32 VGG vorliegt. Als mögliche Vorinstanzen gelten die in Art. 33 VGG genannten Behörden.</w:t>
      </w:r>
    </w:p>
    <w:p>
      <w:r>
        <w:rPr>
          <w:b/>
        </w:rPr>
        <w:t>E. 1.2.1</w:t>
      </w:r>
    </w:p>
    <w:p>
      <w:r>
        <w:t>Zu den Vorinstanzen des Bundesverwaltungsgerichts gehört auch die IVSTA, die mit Verfügungen über Rentengesuche befindet (Art. 33 Bst. d VGG; vgl. auch Art. 69 Abs. 1 Bst. b des Bundesgesetzes vom 19. Juni 1959 über die Invalidenversicherung [IVG, SR 831.20]). Die angefochtenen Verfügungen sind ohne Zweifel als Verfügungen im Sinne von Art. 5 VwVG zu qualifizieren; eine Ausnahme nach Art. 32 VGG liegt nicht vor. Insoweit ist das Bundesverwaltungsgericht daher zur Beurteilung der vorliegenden Beschwerde zuständig.</w:t>
      </w:r>
    </w:p>
    <w:p>
      <w:r>
        <w:rPr>
          <w:b/>
        </w:rPr>
        <w:t>E. 1.2.2</w:t>
      </w:r>
    </w:p>
    <w:p>
      <w:r>
        <w:t>In seiner Beschwerde widersetzt sich der Beschwerdeführer dem Ver­rech­nungsanspruch der K.________, wie er in der Mitteilung vom 28. No­vember 2008 erhoben wird. In den angefochtenen Verfügungen hat die Vorinstanz hierüber allerdings nicht befunden, so dass auf die ent­sprechende Rüge mangels Anfechtungsobjekts nicht eingetreten werden kann. Sollte der Beschwerdeführer unmittelbar die Mitteilung der K.________ vom 28. No­vember 2008 anfechten wollen, so könnte hierauf mangels Zuständigkeit ebenfalls nicht eingetreten werden, ist doch die K.________ keine Vorinstanz des Bundes­verwal­tungs­gerichts im Sinne von Art. 33 VGG.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Er ist als Adressat durch die angefochtenen Verfügungen besonders berührt, und hat an deren Änderung oder Aufhebung ein schutzwürdiges Interesse. Nachdem der einverlangte Verfahrens­kosten­vorschuss fristgerecht geleistet worden ist, kann auf die form- und fristgerechte Beschwerde eingetreten werden, soweit sie sich nicht gegen den mit Mitteilung vom 28. No­vember 2008 erhoben Ver­rech­nungsanspruch der K.________ wendet (Art. 60 ATSG; vgl. auch Art. 20 Abs. 1, Art. 50 Abs. 1, Art. 52 Abs. 1 VwVG).</w:t>
      </w:r>
    </w:p>
    <w:p>
      <w:r>
        <w:rPr>
          <w:b/>
        </w:rPr>
        <w:t>E. 2.1</w:t>
      </w:r>
    </w:p>
    <w:p>
      <w:r>
        <w:t>Mit der Beschwerde an das Bundesverwaltungsgericht kann gerügt werden, die vorinstanzliche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Im Rahmen seiner Kognition (vgl. Art. 49 VwVG; Beniamin Schindler, in: Auer/ Müller/Schindler [Hrsg.], Kommentar zum Bundesgesetz über das Verwaltungsverfahren, Zürich 2008, Rz. 1 ff. zu Art. 49)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Der Beschwerdeführer ist spanischer Staatsangehöriger und hat dort seinen Wohnsitz, so dass vorliegend die Bestimmungen des Ab­kom­m­ens zwischen der Schweizerischen Eidgenossenschaft einer­seits und der Europäischen Gemeinschaft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Daraus folgt, dass die Verwaltung und im Beschwerdefall das Gericht den Leistungsanspruch des Beschwerdeführers gemäss Art. 3 Abs. 1 Verordnung (EWG) Nr. 1408/71 grundsätzlich nach den für schwei­zerische Staatsangehörige geltenden Regeln zu beurteilen haben.</w:t>
      </w:r>
    </w:p>
    <w:p>
      <w:r>
        <w:rPr>
          <w:b/>
        </w:rPr>
        <w:t>E. 2.4</w:t>
      </w:r>
    </w:p>
    <w:p>
      <w:r>
        <w:t>In zeitlicher Hinsicht ist zunächst festzuhalten, dass Rechts- und Sachverhaltsänderungen, die nach dem massgebenden Zeitpunkt des Erlasses der streitigen Ver­fügung vom 18. November 2008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2.4.1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E. 2.3, BGE 129 V 1 E. 1.2 mit Hinweisen). Ein allfälliger Leistungs­anspruch ist für die Zeit vor einem Rechtswechsel aufgrund der bis­herigen und ab diesem Zeitpunkt nach den neuen Normen zu prüfen (pro rata temporis, vgl. BGE 130 V 445).</w:t>
      </w:r>
    </w:p>
    <w:p>
      <w:r>
        <w:rPr>
          <w:b/>
        </w:rPr>
        <w:t>E. 2.4.2</w:t>
      </w:r>
    </w:p>
    <w:p>
      <w:r>
        <w:t>Damit finden grundsätzlich jene schweizerischen Rechts­vorschriften An­wendung, die bei Erlass der angefochtenen Verfügungen vom 18. November 2008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w:t>
      </w:r>
    </w:p>
    <w:p>
      <w:r>
        <w:rPr>
          <w:b/>
        </w:rPr>
        <w:t>E. 2.4.3</w:t>
      </w:r>
    </w:p>
    <w:p>
      <w:r>
        <w:t>Ferner sind das ATSG und die Verordnung vom 11. September 2002 über den Allgemeinen Teil des Sozialversicherungsrechts (ATSV, SR 830.11) anwendbar. Die im ATSG enthaltenen Formulierungen der Arbeitsun­fähigkeit (Art. 6), Erwerbsunfähigkeit (Art. 7) und Invalidität (Art. 8)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3</w:t>
      </w:r>
    </w:p>
    <w:p>
      <w:r>
        <w:t>Im Folgenden werden die für die Beurteilung der Streitsache wesent­lichen Bestimmungen und von der Rechtsprechung dazu entwickelten Grundsätze dargestellt.</w:t>
      </w:r>
    </w:p>
    <w:p>
      <w:r>
        <w:rPr>
          <w:b/>
        </w:rPr>
        <w:t>E. 3.1</w:t>
      </w:r>
    </w:p>
    <w:p>
      <w:r>
        <w:t>Anspruch auf eine Rente der schweizerischen Invalidenversicherung hat, wer invalid im Sinne des Gesetzes ist (Art. 8 ATSG), und beim Eintritt der Invalidität während der vom Gesetz vorgesehenen Dauer ( vgl. Art. 36 Abs. 1 IVG in der bis Ende 2007 gültig gewesenen Fassung [Beitrags­dauer von 1 Jahr] und in der seit dem 1. Januar 2008 geltenden Fassung [Beitragsdauer 3 Jahre]) Beiträge an die schweizerische Alters-, Hinter­lassenen- und Invalidenversicherung (AHV/IV) geleistet hat. Diese Be­stimmungen müssen kumulativ gegeben sein; fehlt eine, so entsteht kein Rentenanspruch, selbst wenn die andere erfüllt ist. Der Beschwerdeführer arbeitete zuletzt vom 4. Mai 1987 bis 29. Juli 2007 bei der Bauunternehmung Q.________, X.________, in seinem an­gestammten Beruf als Maurer und Vorarbeiter (IV-act. 4, 5, 8 und 23). Von 1969 bis 2006 leistete er während insgesamt 420 Monaten Beiträge an die schweizerische Alters-, Hinterlassenen- und Invalidenversicherung (act 92). Zum unbestrittenen, frühestmöglichen Anspruchsbeginn (1. Juli 2006) waren somit die Voraussetzung der gesetzlichen Mindestbeitrags­dauer für den Anspruch auf eine ordentliche In­validen­rente ohne Zweifel erfüllt (vgl. IV-act. 5, 24, 92).</w:t>
      </w:r>
    </w:p>
    <w:p>
      <w:r>
        <w:rPr>
          <w:b/>
        </w:rPr>
        <w:t>E. 3.2</w:t>
      </w:r>
    </w:p>
    <w:p>
      <w:r>
        <w:t>Invalidität ist die voraussichtlich bleibende oder längere Zeit dauernde ganz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[im Folgenden: KIESER, ATSG], Rz. 7 zu Art. 8): ein medizinisches (Gesundheitsschaden mit Auswirkungen auf die Arbeitsfähigkeit) und ein wirtschaftliches im weiteren Sinn (dauerhafte oder länger dauernde Einschränkung der Erwerbsfähigkeit oder der Tätigkeit im Aufgabenbereich).</w:t>
      </w:r>
    </w:p>
    <w:p>
      <w:r>
        <w:rPr>
          <w:b/>
        </w:rPr>
        <w:t>E. 3.3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3.4</w:t>
      </w:r>
    </w:p>
    <w:p>
      <w:r>
        <w:t>Gemäss Art. 28 Abs. 1 IVG (in der bis Ende 2007 gültig gewesenen Fassung) bzw. Art. 28 Abs. 2 IVG (in der seit dem 1. Januar 2008 geltenden Fassung) besteht bei einem Invaliditätsgrad von mindestens 70 % Anspruch auf eine ganze Rente, bei einem Invaliditätsgrad von mindestens 60 % Anspruch auf eine Dreiviertelsrente, bei einem Invalidi­tätsgrad von mindestens 50 % Anspruch auf eine halbe Rente und bei einem solchen von mindestens 40 % Anspruch auf eine Viertelsrente. Renten, die einem Invaliditätsgrad von weniger als 50 % entsprechen, werden jedoch nur an Versicherte ausgerichtet, die ihren Wohnsitz und gewöhnlichen Aufenthalt (Art. 13 ATSG) in der Schweiz haben (vgl. Art. 28 Abs. 1ter erster Satz IVG in den bis Ende 2007 gültig gewesenen Fassungen bzw. Art. 29 Abs. 4 erster Satz in der seit dem 1. Januar 2008 geltenden Fassung), was laut Rechtsprechung eine besondere An­spruchsvoraussetzung darstellt (BGE 121 V 264 E. 6c). Eine Ausnahme von diesem Prinzip gilt seit dem 1. Juni 2002 für Schweizer Bürger und Staatsangehörige der Europäischen Gemeinschaft (EU), denen bei einem Invaliditätsgrad ab 40 % eine ordentliche Rente ausgerichtet wird, auch wenn sie - wie vorliegend - in einem Mitglied­staat der EU Wohnsitz haben.</w:t>
      </w:r>
    </w:p>
    <w:p>
      <w:r>
        <w:rPr>
          <w:b/>
        </w:rPr>
        <w:t>E. 3.5</w:t>
      </w:r>
    </w:p>
    <w:p>
      <w:r>
        <w:t>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den bis Ende 2007 gültig gewesenen Fassungen sowie Urteile des Bundesgerichts 9C_882/ 2009 vom 1. April 2010 E. 5.2 und 9C_718/2008 vom 2. De­zember 2008 E. 4. 1.1, je mit Hinweisen).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Vorbehältlich abweichender staatsvertraglicher Regelungen ist bei Personen mit Wohnsitz oder gewöhnlichem Aufenthalt im Ausland in diesem Zusammenhang eine Arbeitsunfähigkeit bzw. ein Invaliditätsgrad von 50% gefordert (vgl. Art. 28 Abs. 1ter erster Satz IVG in den bis Ende 2007 gültig gewesenen Fassungen bzw. Art. 29 Abs. 4 erster Satz IVG in der seit dem 1. Januar 2008 geltenden Fassung). Sofern sich eine versicherte Person mehr als zwölf Monate nach Entstehen des Anspruchs anmeldet, werden die Leistungen allerdings lediglich für die zwölf der Anmeldung vorangehenden Monate ausge­richtet (Wartejahr, vgl. Art. 48 Abs. 2 IVG in der vorliegend in dieser Beziehung anwendbaren, bis Ende 2007 in Kraft gewesenen Fassung).</w:t>
      </w:r>
    </w:p>
    <w:p>
      <w:r>
        <w:rPr>
          <w:b/>
        </w:rPr>
        <w:t>E. 3.6</w:t>
      </w:r>
    </w:p>
    <w:p>
      <w:r>
        <w:t>Um den Invaliditätsgrad bemessen zu können, sind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125 V 261 E. 4, BGE 115 V 133 E. 2;). Eine zumutbare Arbeitsmöglichkeit hat sich der Versicherte anrechnen zu lassen (leidensangepasste Verweisungstätigkeit; ZAK 1986 S. 204 f.).</w:t>
      </w:r>
    </w:p>
    <w:p>
      <w:r>
        <w:rPr>
          <w:b/>
        </w:rPr>
        <w:t>E. 3.6.1</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(BGE 125 V 351 E. 3a).</w:t>
      </w:r>
    </w:p>
    <w:p>
      <w:r>
        <w:rPr>
          <w:b/>
        </w:rPr>
        <w:t>E. 3.6.2</w:t>
      </w:r>
    </w:p>
    <w:p>
      <w:r>
        <w:t>Auch auf Beurteilungen versicherungsinterner Ärzte der Vorinstanz oder von Ärzten eines regionalen ärztlichen Dienstes darf nur abgestellt werden, sofern sie schlüssig und nachvollziehbar begründet sowie in sich widerspruchsfrei sind und keine Indizien gegen ihre Zuverlässigkeit bestehen. Nicht in jedem Einzelfall zwingend erforderlich ist, dass solche Ärzte den Versicherten persönlich untersuchen. Das Fehlen eigener Untersuchungen vermag daher ihre Stellungnahmen, Berichte oder Gutachten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w:t>
      </w:r>
    </w:p>
    <w:p>
      <w:r>
        <w:rPr>
          <w:b/>
        </w:rPr>
        <w:t>E. 3.6.3</w:t>
      </w:r>
    </w:p>
    <w:p>
      <w:r>
        <w:t>Ausschlaggebend für den Beweiswert ist grundsätzlich somit weder die Herkunft des Beweismittels noch die Bezeichnung der eingereichten oder in Auftrag gegebenen medizinischen Beurteilung als Bericht, Gutachten oder Stellungnahme (vgl. zum Ganzen: Urteile des Bundes­gerichts 9C_323/2009 vom 14. Juli 2009 E. 4.3.1 und I 1094/06 vom 14. No­vember 2007 E. 3.1.1 sowie BGE 125 V 351 E. 3.a und E. 3b/ee, je mit Hinweisen). Allerdings müssen diese Ärzte über die zur Beurteilung des Einzelfalles erforderlichen fachlichen Qualifikationen verfügen, andern­falls ein gewichtiges Indiz gegen die Zuverlässigkeit ihrer Expertise oder Stellungnahme vorliegt (vgl. dazu Urteile des Bundesgerichts I 142/07 vom 20. November 2007 E. 3.2.3 ff. und I 362/06 vom 10. April 2007 E. 3.2.1, je mit Hinweisen).</w:t>
      </w:r>
    </w:p>
    <w:p>
      <w:r>
        <w:rPr>
          <w:b/>
        </w:rPr>
        <w:t>E. 3.6.4</w:t>
      </w:r>
    </w:p>
    <w:p>
      <w:r>
        <w:t>Gleichwohl erachtet es die Rechtsprechung als mit dem Grundsatz der freien Beweiswürdigung vereinbar, einem Gutachten externer Spezial­ärzte bei der Beweiswürdigung volle Beweiskraft zuzuerkennen, sofern keine konkreten Indizien gegen die Zuverlässigkeit der Expertise sprechen, sie aufgrund eingehender Beobachtungen und Untersuchun­gen sowie nach Einsicht in die Akten Bericht erstatten und bei der Erörterung der Befunde zu schlüssigen Ergebnissen gelangen (vgl. hierzu BGE 125 V 351 E. 3b/bb mit Hinweisen; AHI 2001 S.114 E. 3b; Urteil des EVG I 128/98 vom 24. Januar 2000 E. 3b). Berichte der behandelnden Ärzte dagegen sind - obschon ihren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BGE 125 V 351 E. 3b/cc sowie Urteil des EVG I 655/05 vom 20. März 2006 E. 5.4, je mit Hinweisen).</w:t>
      </w:r>
    </w:p>
    <w:p>
      <w:r>
        <w:rPr>
          <w:b/>
        </w:rPr>
        <w:t>E. 3.7</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(allgemeine Methode des Einkommensvergleichs; BGE 130 V 343 E. 3.4.2, 128 V 29 E. 1) zum Erwerbseinkommen, das sie erzielen könnte, wenn sie nicht invalid geworden wäre (sogenanntes Valideneinkommen). Da nach empirischer Feststellung in der Regel die bisherige Tätigkeit im Gesundheitsfall weitergeführt worden wäre, ist Anknüpfungspunkt für die Bestimmung des Valideneinkommens häufig der zuletzt erzielte, der Teuerung sowie der realen Einkommens­entwicklung angepasste Verdienst (RKUV 1993 Nr. U 168 101 E. 3b) beziehungsweise das an die branchenspezifische Nominallohn­ent­wicklung angepasste frühere Einkommen (AHI 2000 305 ff. E. 2c). Bei der Bestimmung des Invalideneinkommens ist ebenfalls - sofern möglich - auf die beruflich-erwerbliche Situation abzustellen, in welcher die versicherte Person konkret steht. Ist kein solches Vergleichseinkommen vorhanden, weil die Person nach dem Eintritt des Gesundheitsschadens keiner Erwerbstätigkeit nachgegangen ist, so können rechtsprechungs­gemäss Daten der Dokumentation über Arbeitsplätze (DAP) oder aber Tabellenlöhne gemäss den vom Bundesamt für Statistik periodisch her­aus­gegebenen Lohnstrukturerhebungen (LSE) herangezogen werden (BGE 129 V 472 E. 4.2.1).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leidens­angepasste Verweisungs­tätigkeit hat sich der Versicherte an­rechnen zu lassen (ZAK 1986 S. 204 f.). Wird das Invalideneinkommen auf der Grundlage von statistischen Durchschnittswerten ermittelt, ist der entsprechende Ausgangswert zu kürzen, wenn im Einzelfall Anhaltspunkte dafür bestehen, dass die versicherte Person wegen eines oder mehrerer Merkmale (namentlich Alter, Dauer der Betriebszugehörigkeit, Nationalität oder Aufenthalts­kategorie sowie Beschäftigungsgrad) ihre gesundheitlich bedingte (Rest-) Arbeitsfähigkeit auf dem allgemeinen Arbeitsmarkt nur mit unterdurch­schnittlichem Einkommen verwerten kann. Bei der Bestimmung der Höhe des Abzuges ist der Einfluss aller in Betracht fallender Merkmale auf das Invalideneinkommen unter Würdigung der Umstände im Einzelfall gesamthaft zu schätzen und insgesamt auf höchstens 25% des Tabellen­lohns zu begrenzen (vgl. BGE 134 V 322 E. 5.2 mit Hinweisen).</w:t>
      </w:r>
    </w:p>
    <w:p>
      <w:r>
        <w:rPr>
          <w:b/>
        </w:rPr>
        <w:t>E. 4</w:t>
      </w:r>
    </w:p>
    <w:p>
      <w:r>
        <w:t>Im Folgenden ist in Würdigung der relevanten Unterlagen in erster Linie zu prüfen, ob die Vorinstanz dem Beschwerdeführer mit Verfügung vom 18. November 2008 zu Recht ausgehend von einem Invaliditätsgrad von 49 % rückwirkend ab dem 1. Juli 2006 eine ordentliche Viertelsrente und eine entsprechende Kinderrente zuge­sprochen hat.</w:t>
      </w:r>
    </w:p>
    <w:p>
      <w:r>
        <w:rPr>
          <w:b/>
        </w:rPr>
        <w:t>E. 4.1</w:t>
      </w:r>
    </w:p>
    <w:p>
      <w:r>
        <w:t>Die angefochtenen Verfügungen vom 18. November 2008 beruhen im Wesentlichen auf den Stellungnahmen von Dr. med. E.________ des ärztlichen Dienstes der Vorinstanz vom 17. Juni und 21. August 2008 (IV-act. 70 und 83).</w:t>
      </w:r>
    </w:p>
    <w:p>
      <w:r>
        <w:rPr>
          <w:b/>
        </w:rPr>
        <w:t>E. 4.1.1</w:t>
      </w:r>
    </w:p>
    <w:p>
      <w:r>
        <w:t>Bei der Ausarbeitung ihrer Stellungnahmen lagen dem ärztlichen Dienst der Vorinstanz Berichte und Schreiben von in der Schweiz auf den Gebieten der Rheumatologie, Wirbelsäulen- und Rückenmarks­chirurgie, Radiologie, Orthopädie, Inneren Medizin, Manuellen und Allgemeinen Medizin sowie Arbeitsmedizin praktizierenden Fachärzten insbesondere aus der Zeit vom 15. September 2005 bis 26. Juni 2007 vor (IV-act. 42 bis 46, 50 bis 58, 60 bis 64, 74 bis 78 und 80) - zudem das im Auftrag der K.________ erstellte Gutachten des Zentrums für L.________ (L.________) vom 3. März 2006 (IV-act. 47) und das Arbeitsassessment vom 16. Mai 2006 sowie der Austrittsbericht vom 21. März 2006 der Rheumaklinik und des Instituts für Physikalische Medizin des Universitätsspitals X.________ (IV-act. 48 und 49). Als Hauptdiagnosen mit Auswirkung auf die Arbeitsfähigkeit stellte Dr. med. E.________ in ihrer Stellungnahme vom 17. Juni 2008 chroni­sche Lumbalgien in Zusammenhang mit degenerativen Beschwerden, eine Facettengelenksdegeneration L4/L5 und eine Diskopathie L4/L5 fest (IV-act. 70). Als Nebendiagnose ohne Auswirkung auf die Arbeitsfähigkeit führte sie eine Fettleibigkeit (BMI 35) auf. Trotz diverser Behandlungs­versuche (multiple Physiotherapien, Infiltrationen, Arbeitstherapie etc.) gebe es keine Besserung. Wie bereits im Arbeitsassessment des Uni­versitätsspitals X.________ vom 16. Mai 2006 ausgeführt, bestehe seit dem 26. Juli 2005 noch eine Arbeitsfähigkeit von 30 % im angestammten Beruf als Maurer/Vorarbeiter, in einer leichten leidensangepassten Tätigkeit (z.B. Con­cierge, Magaziner, motorisierter Bote, Billetverkäufer, Verkäufer, Kurier) dagegen eine vollschichtige Arbeitsfähigkeit. Versuche, die Arbeit wieder aufzunehmen, seien abgebrochen worden. Nach Durchsicht der ihr neu vorgelegten Unterlagen der M.________ Klinik vom 25. April, 7. Mai und 21. Mai 2007 (IV-act. 76, 77, 78) und des Berichts des Universi­täts­spitals X.________ vom 7. Februar 2001 (IV-act. 75) bestätigte Dr. med. E.________ in ihrer Stellungnahme vom 21. August 2008 ihre früheren Diagnosen und Aussagen (IV-act. 83).</w:t>
      </w:r>
    </w:p>
    <w:p>
      <w:r>
        <w:rPr>
          <w:b/>
        </w:rPr>
        <w:t>E. 4.1.2</w:t>
      </w:r>
    </w:p>
    <w:p>
      <w:r>
        <w:t>Bereits am 26. Juli 2005 hatte sich der Beschwerdeführer bei Dr. med. C.________, Allgemeine Medizin FMH, erstmalig wegen Rücken­schmerzen und allgemeinen Knochenschmerzen gemeldet (IV-act. 56). Der Hausarzt diagnostizierte eine akute Lumboischialgie bei Diskushernie L4/L5 mit 100 % Arbeitsunfähigkeit ab folgenden Tag bis zum 24. Oktober 2005 (vgl. SUVA-Akten vom 24. Oktober 2005, nicht paginiert). Seit dem 26. Juli 2005 arbeitete der Beschwerdeführer nicht mehr (IV-act. 70). Wenige Tage später, am 1. August 2005, machte er beim Aussteigen aus einer Badewanne eine Fehl­bewegung und verletzte sich zusätzlich im Rückenbereich (IV-act. 43, 44, 46, 61). Am 13. September 2005 diagnos­tizierte Dr. med. C.________ ein akutes Lumboradikulärsyndrom L1-TH12 rechts, äusserte sich aber unbestimmt über den Zeitpunkt einer allfälligen Arbeitsaufnahme (vgl. SUVA-Akten vom 13. September 2005, nicht paginiert).</w:t>
      </w:r>
    </w:p>
    <w:p>
      <w:r>
        <w:rPr>
          <w:b/>
        </w:rPr>
        <w:t>E. 4.1.3</w:t>
      </w:r>
    </w:p>
    <w:p>
      <w:r>
        <w:t>Im Bericht zum Arbeitsassessment vom 16. Mai 2006 hielt Dr. med. H.________ von der Rheumaklinik und des Instituts für Physikalische Medizin des Universitätsspitals X.________ fest (IV-act. 49), dass die aktuelle Arbeits­fähigkeit des Beschwerdeführers in der zuletzt ausgeübten Tätigkeit bei geeignetem Arbeitsplatz 30 % betrage und längerfristig nicht mit einer Steigerung der Arbeitsfähigkeit in der bisherigen Tätigkeit zu rechnen sei. In einer anderen, leichten bis mittelschweren Arbeit bestehe eine Arbeitsfähigkeit von 100 % mit der Einschränkung von max. drei Stunden pro Tag vorgeneigtem Stehen. Aktiv diagnostizierte er wie die Gutachter des L.________ (vgl. E. 4.1.5. hiernach) ein chronisches Lumbovertebral­­syndrom (allerdings linksseitig) mit Wirbelsäulenfehlform/-fehlhaltung und eine verminderte muskuläre Stabilisationsfähigkeit der LWS. Er erkannte Hinweise auf Symptomausweitung. Ausserdem beschrieb er eine links­laterale Diskusprotrusion L4/L5 ohne neutrale Kompression, Spondyl­arthrosen der unteren LWS und ein metabolisches Syndrom (arterielle Hypertonie, Adipositas, Hypercholesterinämie).</w:t>
      </w:r>
    </w:p>
    <w:p>
      <w:r>
        <w:rPr>
          <w:b/>
        </w:rPr>
        <w:t>E. 4.1.4</w:t>
      </w:r>
    </w:p>
    <w:p>
      <w:r>
        <w:t>Die gleichen Diagnosen sind im Austrittsbericht der Rheumaklinik und des Instituts für Physikalische Medizin des Universitätsspitals X.________ vom 21. März 2006 aufgeführt; die Arbeitsunfähigkeit wurde für die Zeit vom 23. März bis 5. April 2006 auf 100 % festgelegt und festgehalten, dass die Arbeitsaufnahme als Maurer/Vorarbeiter vom weiteren klinischen Verlauf abhänge (IV-act. 48). Im Übrigen wurde bereits im zusammenfas­senden Bericht vom 7. Februar 2001 von den Ärzten des Universitäts­spitals X.________ eine arterielle Hypertonie ohne Auswirkung auf die Arbeits­fähigkeit diagnos­tiziert (IV-act. 74 und 75).</w:t>
      </w:r>
    </w:p>
    <w:p>
      <w:r>
        <w:rPr>
          <w:b/>
        </w:rPr>
        <w:t>E. 4.1.5</w:t>
      </w:r>
    </w:p>
    <w:p>
      <w:r>
        <w:t>Im Weiteren kamen die Gutachter des Zentrums für L.________ (L.________) in ihren Ausführungen vom 3. März 2006 zum Schluss, dass dem Beschwerdeführer die Tätigkeit als Maurer/ Vorarbeiter mit verminderter Leistung und Anpassungen am Arbeitsplatz sogar halbtags zumutbar sei, andere berufliche, mittelschwere Tätigkeiten mit speziellen Einschränkungen seien ganztags möglich (IV-act. 47). Die Diagnosen lauteten: Chronisches lumbovertebrales Schmerzsyndrom mit Wirbelsäulenfehlform/-fehlhaltung, verminderte muskuläre Stabilisations­fähigkeit der Lendenwirbelsäule, Diskushernie L4/L5, aktuell ohne radi­kuläre Reiz- oder sensomotorische Ausfallsymptomatik, Zeichen eines dysfunktionalen Schmerz- und Krankheitsverhaltens (Symptomaus­wie­tung) und Verdacht auf coxogene Affektion linksseitig.</w:t>
      </w:r>
    </w:p>
    <w:p>
      <w:r>
        <w:rPr>
          <w:b/>
        </w:rPr>
        <w:t>E. 4.1.6</w:t>
      </w:r>
    </w:p>
    <w:p>
      <w:r>
        <w:t>Ebenfalls positiv beurteilte der von der K.________ zur Beurteilung am 4. Oktober 2006 hinzugezogene Allgemeinmediziner Dr. med. D.________, welcher ebenfalls eine chronische Lumbalgie bei DH L4/L5 und leichter Spondylarthrose der unteren LWS feststellte, die Entwicklung der Arbeits­fähigkeit (vgl. SUVA-Akten). Er hielt fest, ab dem 1. Oktober 2006 sollte wieder eine Arbeitsfähigkeit von 25 % (50 % Leistung in 50 % Anwesenheit) erreich­bar sein, wobei Heben und Tragen über 10 kg in den ersten zwei Monaten vermieden werden sollten. Danach sollte die Arbeitsfähigkeit alle drei Wochen um 10-15 % zu steigern sein.</w:t>
      </w:r>
    </w:p>
    <w:p>
      <w:r>
        <w:rPr>
          <w:b/>
        </w:rPr>
        <w:t>E. 4.1.7</w:t>
      </w:r>
    </w:p>
    <w:p>
      <w:r>
        <w:t>Die Ärztin des medizinischen Dienstes erwähnte in ihrer Stellung­nahme vom 17. Juni 2008 (IV-act. 70) auch den Bericht der M.________ Klinik vom 26. Juni 2007 (IV-act. 64), in welchem der leitende Arzt der Manuellen Medizin, Dr. med. O.________, zwar ein chronisches lumbovertebrales Syndrom bei muskulären Insuffizienzen, Segment­degenerationen L3/4 und L4/L5 wie auch eine Schmerz­aggravation diagnostizierte, aber im Gegensatz zu vorangehenden Feststellungen anderer Ärzte - auch der M.________ Klinik selbst (vgl. den Bericht von Dr. med. J.________ vom 7. Februar 2007, IV-act. 57) - weder Hinweise auf eine radikuläre Problematik, noch auf eine system­entzündliche Erkrankung, eine lokale Diskopathie oder eine Facettenproblematik fand. Die Tatsache, dass die Beschwerden trotz aller Behandlungsversuche Tag und Nacht vorhanden seien, sowie die fünf positiven Waddellzeichen zeigten, dass es zwischenzeitlich zu einer Schmerzentkoppelung im Sinne einer deutlichen Aggravation im Rahmen eines Chronifizierungs­prozesses gekommen sei. Es sei aber keine Indikation für schmerz­therapeutische Interventionen oder weitere Abklä­rungen gegeben. Dennoch empfiehlt der Arzt den Versuch mit einer adäquaten Medikation. Er schätzt die Wahrscheinlichkeit, dass der Beschwerde­führer seine Arbeit als Maurer wieder aufnehme, als sehr gering ein.</w:t>
      </w:r>
    </w:p>
    <w:p>
      <w:r>
        <w:rPr>
          <w:b/>
        </w:rPr>
        <w:t>E. 4.2.1</w:t>
      </w:r>
    </w:p>
    <w:p>
      <w:r>
        <w:t>Der Bericht von Dr. med. O.________ erfolgte gestützt auf zwei Konsultationen. Er enthält keine Anamnese, setzt sich in keiner Weise mit früheren fachärztlichen Befunden auseinander und ist bezüglich der möglichen weiteren Behandlung widersprüchlich. Seine Diagnosen decken sich nicht mit jenen von Dr. med. P.________ (Assistenzarzt der Wirbel­säulen­chirurgie in der M.________ Klinik) und Dr. med. J.________ (Leitender Oberarzt der Wirbelsäulen- und Rückanmarkschirurgie in der M.________ Klinik). Diese hatten nach mehreren, operativen Eingriffen, so am 12. September 2006, 7. Mai und 21. Mai 2007 (IV-act. 52, 77, 78), und nach Konsultationen mit Berichten vom 24. Juli 2006, 5. Oktober 2006, 7. Februar 2007 und 25. April 2007 (IV-act. 51, 53, 55/57, 76) starke spondy­logene Kreuzschmerzen und sehr wahrscheinlich Fazettendegenera­tionen L4/L5 beidseitig diagnostiziert. Die am 21. Juli 2006 festgestellte Diskusprotusion L4/L5 mit leichter Wurzelkompression konnte mit stationärer Behandlung in der T.________ behandelt werden (IV-act. 51 bis 54; vgl. auch SUVA-Akten: Schreiben der M.________ Klinik vom 25. Oktober 2006, nicht paginiert). Im Gegensatz zu Dr. med. E.________ und den Ärzten des Uni­versitätsspitals X.________ gelangte Dr. med. O.________ zum Schluss, die Wahr­scheinlichkeit, dass der Beschwerdeführer seine Arbeit als Maurer wieder aufnehme, sei sehr gering, begründete diese Aussage aber nicht näher, so dass der Schluss auf die Arbeitsunfähigkeit im angestammten Beruf nicht nachvollziehbar ist (IV-act. 64).</w:t>
      </w:r>
    </w:p>
    <w:p>
      <w:r>
        <w:rPr>
          <w:b/>
        </w:rPr>
        <w:t>E. 4.2.2</w:t>
      </w:r>
    </w:p>
    <w:p>
      <w:r>
        <w:t>Auch der von der K.________ beauftragte Dr. med. R.________ stellte bereits in seinem Bericht vom 10. November 2005 ein chroni­fizierendes lumbovertebrales Syndrom bei Diskushernie L4/L5 ohne radikuläre Symptomatik, Adipositas und Verdacht auf Symptom­aus­weitung und eine vollschichtige Arbeits­unfähigkeit in seinem ange­stamm­ten Beruf seit dem 27. Juli 2005 fest (IV-act. 44, S. 3). Im Weiteren attestierte Dr. med. P.________ von der M.________ Klinik bis zum Abschluss der Abklärungen dem Beschwerdeführer am 6. März und am 21. Mai 2007 eine 100%ige Arbeitsunfähigkeit (IV-act. 58 und 63). Ebenso attestierte der behandelnde Rheumatologe Dr. med. B.________ mit Schreiben vom 5. März 2007 nach einem gescheiterten 25%igen Arbeitsversuch weiterhin 100 % Arbeits­unfähigkeit (IV-act. 54 und 61) und spricht von einem völlig therapie­resistenten lumbovertebralen und teil­weise lumbospondylogenen Syn­drom bei stationärer Diskushernie L4/L5 und Adipositas permagna (Bericht vom 21. Februar 2006 [IV-act. 46], sinngemäss auch im Bericht vom 19. September 2005 [IV-act. 43] und Bericht vom 6. Juli 2006 [IV-act. 50] und Bericht an die Invaliden­ver­sicherung vom 13. April 2007 [IV-act. 62]). Ebenfalls 100 % Arbeits­un­fähigkeit zumindest bis zum 5. April 2006 wegen chronisch therapie­resistenter Rückenschmerzen, resp. akuter Lumbolschialgie L4/L5, Adipositas, Hypertonie und Hypercholesterinämie bescheinigte der Hausarzt Dr. med. C.________ in seinem Bericht vom 12. Februar 2007 (IV-act. 56; vgl. auch IV-act. 45 und SUVA-Akten, Schreiben vom 24. Oktober 2005, nicht paginiert).</w:t>
      </w:r>
    </w:p>
    <w:p>
      <w:r>
        <w:rPr>
          <w:b/>
        </w:rPr>
        <w:t>E. 4.2.3</w:t>
      </w:r>
    </w:p>
    <w:p>
      <w:r>
        <w:t>Für das Bundes­verwaltungs­gericht besteht kein Anlass, nicht den Feststellungen des medizinischen Dienstes der Vorinstanz zu folgen, der sich zu Recht auf die verlässlichen Angaben im Austrittsbericht sowie im Bericht zum Arbeitsassessment der Rheumaklinik und des Instituts für Physikalische Medizin des Universitätsspitals X.________ und das Gutachten des U._______, stützt. Die ärztlichen Atteste derjenigen Ärzte, die eine Arbeitsunfähigkeit von 100 % bescheinigen, sind befristet, betreffen nur die bisherige Tätigkeit als Maurer/Vorarbeiter und lassen zum Teil eine nachvollziehbare Begrün­dung vermissen. Es ist davon auszugehen, dass der Beschwerdeführer seit Beginn der Arbeitsunfähigkeit im angestammten Beruf (26. Juli 2005) - mit kurzen Unterbrüchen nach den operativen Eingriffen - mindestens zu 30 % als Maurer/Vorarbeiter und zu 100 % in einer leichten bis mittel­schweren Tätigkeit arbeitsfähig ist.</w:t>
      </w:r>
    </w:p>
    <w:p>
      <w:r>
        <w:rPr>
          <w:b/>
        </w:rPr>
        <w:t>E. 4.3</w:t>
      </w:r>
    </w:p>
    <w:p>
      <w:r>
        <w:t>Zu überprüfen bleibt der von der IVSTA durchgeführte, vom Be­schwerdeführer nicht beanstandete Einkommensvergleich (IV-act. 71).</w:t>
      </w:r>
    </w:p>
    <w:p>
      <w:r>
        <w:rPr>
          <w:b/>
        </w:rPr>
        <w:t>E. 4.3.1</w:t>
      </w:r>
    </w:p>
    <w:p>
      <w:r>
        <w:t>Das Valideneinkommen hat die Vorinstanz zu Recht aufgrund des in der letzten beruflichen Tätigkeit des Beschwerdeführers tatsächlich erzielten Lohnes bestimmt, war er doch bis zum Eintritt des invalidi­sierenden Gesundheitsschadens vollzeitig, mit unfall- bzw. krankheits­bedingten Unterbrüchen, als Vorarbeiter Hochbau bei der Q.________, X.________, berufstätig. Gemäss dem Fragebogen für Arbeitgeber vom 6. September 2007 verdiente der Beschwerdeführer zuletzt Fr. 6'801.- pro Monat (IV-act. 71). Unter Einbezug des 13. Monatslohn bestimmte die Vorinstanz das Valideneinkommen per 2006 zu Recht auf Fr. 7'367.75.</w:t>
      </w:r>
    </w:p>
    <w:p>
      <w:r>
        <w:rPr>
          <w:b/>
        </w:rPr>
        <w:t>E. 4.3.2</w:t>
      </w:r>
    </w:p>
    <w:p>
      <w:r>
        <w:t>Da der Beschwerdeführer sei Eintritt des invalidi­sierenden Ge­sundheitsschadens nicht mehr erwerbstätig ist, bestimmte die Vorinstanz das Invalideneinkommen unter Beizug der Tabellenlöhne gemäss LSE, was nicht zu beanstanden ist. Auf Grund der vom medizinischen Dienst vorgeschlagenen Verweisungstätigkeiten (IV-act. 70) ging die Vorinstanz vom Durchschnitt der Löhne für sonstige öffentliche und persönliche Dienstleistungen (Fr. 4'259.-), im Grosshandel und Handelsvermittlung (Fr. 4'792.-), in Detailhandel und Reparatur (Fr. 4'383.-) sowie für Dienst­leistungen für Unternehmen (Fr. 4'563.-) aus - jeweils bezogen auf das Jahr 2006 und unter Berücksichtigung des Anforderungsniveaus 4 (einfache und repetitive Tätigkeiten, die keine Berufs- und Fach­kenntnisse voraussetzen). Daraus berechnete es in Übereinstimmung mit der bundesgerichtlichen Rechtsprechung einen Durchschnittslohn von Fr. 4'499.25 (= [4'792 + 4'383 + 4'259 + 4'563] : 4) bei einer 40-Stunden­woche. Diesen passte sie zu Recht an die im Jahr 2006 im Dienst­leistungssektor betriebsübliche Arbeitszeit von 41.7 Stunden an, so dass ein vorläufiges Invalideneinkommen von Fr. 4'690.47 (= 4'499.25 : 40 x 41.7) resultierte. Von diesem hypothetischen Einkommen nahm sie einen leidensbedingten Abzug von 20% vor, was angesichts des Altes des Beschwerdeführers und seiner bei einer Arbeitsfähigkeit in Ver­weisungs­tätigkeiten von 100% eingeschränkten Leistungsfähigkeit (ins­besondere kein längerdauerndes, vorübergeneigtes Stehen) angemessen erscheint. Das auf diese Weise errechnete Invalideneinkommen beträgt Fr. 3'752.38 (= [4'690.47 : 100] x 80). Gegen diese Berechnung ist nichts einzu­wenden.</w:t>
      </w:r>
    </w:p>
    <w:p>
      <w:r>
        <w:rPr>
          <w:b/>
        </w:rPr>
        <w:t>E. 4.3.3</w:t>
      </w:r>
    </w:p>
    <w:p>
      <w:r>
        <w:t>Auch die Berechnung der Einkommenseinbusse und damit des Invaliditätsgrads durch die Vorinstanz erfolgte korrekt. Ausgehend von einem Valideneinkommen von Fr. 7'367.75 und einem Invaliden­ein­kommen von Fr. 3'752.38 bestimmte sie den Invaliditätsgrad auf 49 % ({[7'367.75 - 3'752.38] x 100} : 7'367.75 = 49.07, abgerundet 49).</w:t>
      </w:r>
    </w:p>
    <w:p>
      <w:r>
        <w:rPr>
          <w:b/>
        </w:rPr>
        <w:t>E. 5</w:t>
      </w:r>
    </w:p>
    <w:p>
      <w:r>
        <w:t>Zu prüfen bleibt, ob die Vorinstanz zu Recht die Kinderrente für die Tochter S.________ bis zum 30. November 2007 befristet hat - was vom Beschwerdeführer bestritten wird. Gemäss Art. 25 Abs. 5 des Bundesgesetzes vom 20. Dezember 1946 über die Alters- und Hinterlassenenversicherung (AHVG) dauert der Rentenanspruch für Kinder, die noch in Ausbildung sind, bis zu deren Abschluss, längstens aber bis zum vollendeten 25. Altersjahr. Nicht aus den Akten ersichtlich ist, ob die Tochter S.________ noch in Ausbildung ist. Diese Abklärung ist jedoch hinfällig, da sie unbestrittenermassen am 5. November 1982 geboren wurde und damit am 5. November 2007 ihr 25. Altersjahr vollendet hat (IV-act. 91). Die Vorinstanz hat somit zu Recht die ordentliche Kinderrente bis zum 30. November 2007 befristet.</w:t>
      </w:r>
    </w:p>
    <w:p>
      <w:r>
        <w:rPr>
          <w:b/>
        </w:rPr>
        <w:t>E. 6</w:t>
      </w:r>
    </w:p>
    <w:p>
      <w:r>
        <w:t>Zusammenfassend ist festzuhalten, dass die Vorinstanz dem Be­schwerdeführer zu Recht unter Berücksichtigung eines Invaliditätsgrads von 49 %, dem Beginn der Arbeitsunfähigkeit am 26. Juli 2005 und des gesetzlichen Wartejahrs (vgl. E. 3.5 hiervor) mit Wirkung ab dem 1. Juli 2006 eine ordentliche Viertelsrente der Invalidenversicherung samt entsprechender bis zum 30. November 2007 befristeter Kinderrente für seine Tochter S.________ zugesprochen hat. Die Beschwerde vom 29. De­zember 2008 ist daher abzuweisen.</w:t>
      </w:r>
    </w:p>
    <w:p>
      <w:r>
        <w:rPr>
          <w:b/>
        </w:rPr>
        <w:t>E. 7</w:t>
      </w:r>
    </w:p>
    <w:p>
      <w:r>
        <w:t>Zu befinden bleibt noch über die Verfahrenskosten und eine allfällige Parteientschädigung.</w:t>
      </w:r>
    </w:p>
    <w:p>
      <w:r>
        <w:rPr>
          <w:b/>
        </w:rPr>
        <w:t>E. 7.1</w:t>
      </w:r>
    </w:p>
    <w:p>
      <w:r>
        <w:t>Als unterliegende Partei hat der Beschwerdeführer die Ver­fahrens­kosten zu tragen (vgl. Art. 63 Abs. 1 VwVG), die sich aus der Gerichts­gebühr und den Auslagen zusammensetzen. Sie werden unter Berück­sichtigung des Umfanges und der Schwierigkeit der Streitsache im vorliegenden Verfahren auf Fr. 400.- festgesetzt (vgl. Art. 63 Abs. 4bis VwVG sowie Art. 1, 2 und 4 des Reglements vom 21. Februar 2008 über die Kosten und Entschädigungen vor dem Bundesverwaltungsgericht [VGKE, SR 173.320.2]) und mit dem bereits geleisteten Kostenvorschuss in gleicher Höhe verrechnet.</w:t>
      </w:r>
    </w:p>
    <w:p>
      <w:r>
        <w:rPr>
          <w:b/>
        </w:rPr>
        <w:t>E. 7.2</w:t>
      </w:r>
    </w:p>
    <w:p>
      <w:r>
        <w:t>Weder der unterliegende Beschwerdeführer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