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C-2579/2015 vom 24. September 2015</w:t>
      </w:r>
    </w:p>
    <w:p>
      <w:r>
        <w:t>Bundesverwaltungsgericht, 2015-09-24, FR</w:t>
      </w:r>
    </w:p>
    <w:p>
      <w:r>
        <w:rPr>
          <w:b/>
        </w:rPr>
        <w:t xml:space="preserve">Quelle: </w:t>
      </w:r>
      <w:r>
        <w:t>https://mcp.opencaselaw.ch/entscheid/bvger_C-2579_2015</w:t>
      </w:r>
    </w:p>
    <w:p>
      <w:r>
        <w:t>FR: TAF C-2579/2015 du 24 septembre 2015</w:t>
      </w:r>
    </w:p>
    <w:p>
      <w:r>
        <w:t>IT: TAF C-2579/2015 del 24 settembre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l'OCPM a soumis sa décision du 20 mars 2014 à l'approbation du SEM en conformité avec la législation et la jurisprudence (à ce sujet, cf. l'arrêt du Tribunal fédéral 2C_146/2014 du 30 mars 2015, destiné à publication, consid. 4.3.1, 4.3.2 et 6.1 et l'arrêt du Tribunal administratif fédéral C-1621/2013 du 21 mai 2015 consid. 3.2 à 3.4 et la jurisprudence citée). Il s'ensuit que le SEM et, a fortiori, le Tribunal ne sont pas liés par la décision de l'OCPM du 20 mars 2014 de prolonger l'autorisation de séjour du recourant et peuvent parfaitement s'écarter de l'appréciation faite par cette autorité.</w:t>
      </w:r>
    </w:p>
    <w:p>
      <w:r>
        <w:rPr>
          <w:b/>
        </w:rPr>
        <w:t>E. 4.1</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3ème édition, 2012, ad art. 42 n° 9).</w:t>
      </w:r>
    </w:p>
    <w:p>
      <w:r>
        <w:rPr>
          <w:b/>
        </w:rPr>
        <w:t>E. 4.2</w:t>
      </w:r>
    </w:p>
    <w:p>
      <w:r>
        <w:t>En l'espèce, à l'examen du dossier, il appert que les époux A._______ et B._______ ont contracté mariage le 29 novembre 2008 et qu'ils ont définitivement cessé de faire ménage commun en février 2011 (cf. le jugement de divorce du 6 janvier 2015 p. 5 let. B). Par jugement du 6 janvier 2015, le Tribunal de première instance de la République et canton de Genève a prononcé le divorce des époux A._______ et B._______. Compte tenu du fait que la séparation des époux est définitive et que l'union conjugale a duré moins de cinq ans depuis le mariage jusqu'à la séparation définitive en février 2011, le recourant ne saurait de toute évidence pas se prévaloir des dispositions de l'art. 43 al. 1 et 2 LEtr; il ne prétend d'ailleurs pas le contraire.</w:t>
      </w:r>
    </w:p>
    <w:p>
      <w:r>
        <w:rPr>
          <w:b/>
        </w:rPr>
        <w:t>E. 5</w:t>
      </w:r>
    </w:p>
    <w:p>
      <w:r>
        <w:t>Il convient dès lors d'examiner si l'intéressé peut se prévaloir d'un droit au renouvellement de son autorisation de séjour en vertu de l'art. 50 LEtr.</w:t>
      </w:r>
    </w:p>
    <w:p>
      <w:r>
        <w:rPr>
          <w:b/>
        </w:rPr>
        <w:t>E. 5.1.1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5.1.2</w:t>
      </w:r>
    </w:p>
    <w:p>
      <w:r>
        <w:t>En l'occurrence, il apparaît que suite à plusieurs séparations temporaires, les époux A._______ et B._______ ont définitivement cessé de faire ménage commun en février 2011 (cf. le jugement de divorce du 6 janvier 2015 p. 2 n° 5 et p. 5 let. B). Il y a donc lieu de retenir que leur communauté conjugale a duré moins de trois ans, sans qu'il soit nécessaire de déterminer si les séparations temporaires doivent être prises en compte pour le calcul de la durée de la communauté conjugale.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w:t>
      </w:r>
    </w:p>
    <w:p>
      <w:r>
        <w:rPr>
          <w:b/>
        </w:rPr>
        <w:t>E. 5.1.3</w:t>
      </w:r>
    </w:p>
    <w:p>
      <w:r>
        <w:t>Partant, A._______ ne saurait se prévaloir de l'art. 50 al. 1 let. a LEtr pour prétendre au renouvellement de son autorisation de séjour.</w:t>
      </w:r>
    </w:p>
    <w:p>
      <w:r>
        <w:rPr>
          <w:b/>
        </w:rPr>
        <w:t>E. 5.2</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5.2.1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5.2.2</w:t>
      </w:r>
    </w:p>
    <w:p>
      <w:r>
        <w:t>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(cf. ATF 136 II 1 consid. 5.3) et une certaine constance (cf. ATF 138 II 229 consid. 3.2.1 in fine) ; elle peut être de nature tant physique que psychique (cf. l'arrêt du Tribunal fédéral 2C_997/2011 du 3 avril 2012 consid. 4.4.1 et la jurisprudence citée). Une seule gifle ou une attaque verbale à l'occasion d'une dispute ne suffisent toutefois pas. Les contraintes physiques ou psychiques doivent en effet être constitutives d'une maltraitance systématique, visant l'exercice d'une domination sur le conjoint (cf. ATF 138 II 229 consid. 3.2.1 : "Häusliche Gewalt bedeutet systematische Misshandlung mit dem Ziel, Macht und Kontrolle auszuüben [...]").</w:t>
      </w:r>
    </w:p>
    <w:p>
      <w:r>
        <w:rPr>
          <w:b/>
        </w:rPr>
        <w:t>E. 5.2.3</w:t>
      </w:r>
    </w:p>
    <w:p>
      <w:r>
        <w:t>L'étranger qui se prétend victime de violence conjugale sous l'angle de l'art. 50 al. 1 let. b et al. 2 LEtr est soumis à un devoir de coopération accru (cf. art. 90 LEtr et ATF 138 II 229 consid. 3.2.3).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 3.2.3 et l'arrêt du Tribunal fédéral 2C_968/2012 du 22 mars 2013 consid. 3.2).</w:t>
      </w:r>
    </w:p>
    <w:p>
      <w:r>
        <w:rPr>
          <w:b/>
        </w:rPr>
        <w:t>E. 5.2.4</w:t>
      </w:r>
    </w:p>
    <w:p>
      <w:r>
        <w:t>Aux termes de l'art. 77 al. 5 OASA, les autorités compétentes peuvent demander des preuves si la violence conjugale est alléguée. Sont notamment considérés comme indices de violence conjugale les certificats médicaux, les rapports de police, les plaintes pénales, les mesures au sens de l'art. 28b du code civil et les jugements pénaux prononcés à ce sujet (art. 77 al. 6 let. a - e OASA). En outre, les autorités compétentes tiennent compte des indications et des renseignements fournis par les services spécialisés (art. 77 al. 6bis OASA).</w:t>
      </w:r>
    </w:p>
    <w:p>
      <w:r>
        <w:rPr>
          <w:b/>
        </w:rPr>
        <w:t>E. 5.2.5</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6</w:t>
      </w:r>
    </w:p>
    <w:p>
      <w:r>
        <w:t>En l'occurrence, le recourant a essentiellement fait valoir que les violences psychiques et physiques qu'il avait subies de la part de sa conjointe durant leur vie commune justifiaient le renouvellement de son autorisation de séjour en vertu de l'art. 50 al. 1 let. b LEtr en relation avec l'art. 50 al. 2 LEtr. Il a en outre mis en exergue qu'il ne pouvait envisager un retour en Algérie, compte tenu en particulier de la durée de son séjour sur le sol helvétique et des liens qu'il s'était créés durant son séjour en Suisse.</w:t>
      </w:r>
    </w:p>
    <w:p>
      <w:r>
        <w:rPr>
          <w:b/>
        </w:rPr>
        <w:t>E. 6.1.1</w:t>
      </w:r>
    </w:p>
    <w:p>
      <w:r>
        <w:t>Au vu des pièces du dossier, il apparaît effectivement que A._______ a fait l'objet d'actes de violence domestique. Il ressort ainsi notamment d'un certificat médical du 6 juillet 2009, que suite à une dispute avec son épouse survenue le 3 juillet 2009, l'intéressé s'est présenté aux urgences et l'examen clinique a mis en évidence "de multiples dermabrasions longilignes parallèles sur le thorax antérieur gauche et en dorsal postérieur gauche ainsi qu'au niveau de la commissure labiale gauche". Il avait également "un hématome de 5 cm de diamètre sur la face latérale du deltoïde gauche" (cf. le certificat médical de la Policlinique des services de chirurgie du 6 juillet 2009). Ces événements l'auraient par ailleurs bouleversé à tel point qu'il a dû être hospitalisé dans une institution spécialisée (cf. notamment le courrier du recourant du 28 juillet 2014 et la demande d'admission non volontaire du 19 juillet 2009). Suite à une intervention de la police en raison d'un nouveau différend conjugal le 26 février 2011, l'intéressé a par ailleurs affirmé que son épouse l'avait griffé au niveau du cou et l'avait poussé violemment, si bien qu'il s'était cogné la tête en tombant (cf. le rapport de la gendarmerie du 26 avril 2011). A._______ a en outre allégué qu'il avait été victime de violences psychiques, exposant notamment que son épouse, qui souffrait de problèmes psychiques et prenait régulièrement des médicaments, avait exigé de lui qu'il travaille au noir pour qu'elle puisse continuer à bénéficier des prestations de l'aide sociale (cf. notamment le mémoire de recours p. 4 pt. 20).</w:t>
      </w:r>
    </w:p>
    <w:p>
      <w:r>
        <w:rPr>
          <w:b/>
        </w:rPr>
        <w:t>E. 6.1.2</w:t>
      </w:r>
    </w:p>
    <w:p>
      <w:r>
        <w:t>Cela étant, bien qu'il apparaisse que le recourant ait effectivement été victime de violences conjugales durant sa vie commune avec B._______ et que suite aux événements survenus en été 2009, il ait par ailleurs nécessité une prise en charge psychiatrique durant plusieurs semaines, le Tribunal estime que les violences conjugales dont l'intéressé a fait l'objet ne sont pas susceptibles de justifier la poursuite de son séjour en Suisse.</w:t>
      </w:r>
    </w:p>
    <w:p>
      <w:r>
        <w:rPr>
          <w:b/>
        </w:rPr>
        <w:t>E. 6.1.3</w:t>
      </w:r>
    </w:p>
    <w:p>
      <w:r>
        <w:t>A ce propos, le Tribunal observe en premier lieu que A._______ n'a pas démontré avoir été victime de contraintes physiques ou psychiques constitutives d'une maltraitance systématique au sens de la jurisprudence du Tribunal fédéral (cf. consid. 5.2.2 et 5.2.3 supra, voir également Hugi Yar, op.cit., p. 84 ss). Certes, l'importance des deux altercations physiques survenues en juillet 2009 et en février 2011 ne saurait être minimisée. En outre, il apparaît que B._______ a également exercé une pression psychologique sur son époux, exigeant notamment qu'il travaille au noir, afin qu'elle puisse continuer à bénéficier des prestations de l'aide sociale. Il appert par ailleurs que le recourant a souffert de ces agissements jusqu'à nécessiter une prise en charge psychiatrique en été 2009. Force est cependant de constater que la violence domestique subie par le recourant n'a pas atteint l'intensité et n'a pas été d'une constance telles qu'elle constituerait une raison personnelle majeure au sens de l'art. 50 al. 1 let. b LEtr.</w:t>
      </w:r>
    </w:p>
    <w:p>
      <w:r>
        <w:rPr>
          <w:b/>
        </w:rPr>
        <w:t>E. 6.1.4</w:t>
      </w:r>
    </w:p>
    <w:p>
      <w:r>
        <w:t>En outre, le Tribunal considère que le SEM était fondé à retenir que l'intéressé n'avait pas établi avoir été confronté à des violences systématiques exercées unilatéralement par sa conjointe (cf. la décision querellée p. 4). Il apparaît au contraire que A._______ s'est également montré violent à l'égard de son épouse et cela à plusieurs reprises. Ainsi, le 19 avril 2009, B._______ s'est présentée aux urgences, indiquant que lors d'une altercation avec son époux, elle avait reçu plusieurs coups. Le médecin de garde a constaté un saignement sur la cicatrice ombilicale de la patiente consécutive à une laparoscopie exploratrice qu'elle avait subie le 2 avril 2009 (cf. le jugement de divorce du 6 janvier 2015 p. 2 n° 6). Il ressort par ailleurs des pièces du dossier que dans le cadre du différent conjugal survenu le 3 juillet 2009, les deux époux ont subi des actes de violence physique. L'examen médical de A._______ a en effet mis en évidence "des éraflures longues d'environ 5 centimètres (...) à divers endroits du corps: face antérieure et latérale de la jambe droite, en regard de l'omoplate droite, sur la face interne de l'avant-bras gauche", "des hématomes de forme ovoïde, de quelques centimètres de diamètre (...) à divers endroits du corps: sur la poitrine, un hématome sur chaque sein juste au-dessus des aréoles (...), un sur la face interne de la cuisse droite (...), plusieurs hématomes infra-centimétriques au niveau de la face interne et externe des avant-bras", ainsi que "des coupures infracentimétriques multiples sur les deux mains" (cf. le certificat médical du Service de psychiatrie de liaison et d'intervention de crise des HUG du 6 juillet 2009). En outre, s'agissant de l'altercation survenue le 26 février 2011, les époux ont fait des déclarations contradictoires et selon les affirmations de B._______, son conjoint aurait lancé son tapis de prière sur elle, l'aurait ensuite prise par les deux bras et lui aurait infligé deux gifles (cf. le rapport de la gendarmerie du 26 avril 2011). Au vu des éléments qui précèdent, le Tribunal ne saurait suivre la thèse du recourant selon laquelle il ne s'était jamais montré violent à l'égard de son épouse. Il convient au contraire de retenir, comme l'a d'ailleurs fait le Tribunal de première instance dans son jugement de divorce du 6 janvier 2015, que les certificats médicaux et rapports de police au dossier font état de disputes et de violences physiques subies par l'une et l'autre des parties (cf. le jugement du 6 janvier 2015 p. 6 let. D).</w:t>
      </w:r>
    </w:p>
    <w:p>
      <w:r>
        <w:rPr>
          <w:b/>
        </w:rPr>
        <w:t>E. 6.1.5</w:t>
      </w:r>
    </w:p>
    <w:p>
      <w:r>
        <w:t>Au vu de l'ensemble des éléments qui précèdent, le Tribunal estime que les violences domestiques dont l'intéressé a été victime, même si elles ne peuvent être minimisées, ne sont pas susceptibles de justifier l'application de l'art. 50 al. 1 let. b LEtr et, donc, le maintien de son autorisation de séjour au titre des raisons personnelles majeures.</w:t>
      </w:r>
    </w:p>
    <w:p>
      <w:r>
        <w:rPr>
          <w:b/>
        </w:rPr>
        <w:t>E. 6.2</w:t>
      </w:r>
    </w:p>
    <w:p>
      <w:r>
        <w:t>Dans ces conditions, il importe encore d'examiner si le recourant serait confronté à des difficultés de réintégration dans son pays d'origine propres à justifier l'octroi d'une autorisation de séjour en sa faveur (cf. consid. 5.2.1 supra).</w:t>
      </w:r>
    </w:p>
    <w:p>
      <w:r>
        <w:rPr>
          <w:b/>
        </w:rPr>
        <w:t>E. 6.2.1</w:t>
      </w:r>
    </w:p>
    <w:p>
      <w:r>
        <w:t>A ce sujet, il convient de relever que A._______ a passé toute son enfance, son adolescence et la première partie de sa vie d'adulte dans son pays d'origine, où il a effectué sa scolarité obligatoire, poursuivi des études en sciences politiques durant six ans et travaillé dans le café de son père (cf. le procès-verbal de son audition au Centre d'enregistrement de Vallorbe du 28 mai 2003 p. 2 pt. 8). Le Tribunal ne saurait admettre que ces années soient moins déterminantes pour la formation de la personnalité et, partant, pour l'intégration socioculturelle, que le séjour du recourant en Suisse (dans le même sens, cf. l'arrêt du Tribunal fédéral 2C_196/2014 du 19 mai 2014 consid. 4.2 et la référence citée). En outre, le Tribunal observe que A._______ dispose d'attaches familiales importantes dans son pays d'origine, puisque ses parents, ainsi que ses deux soeurs, avec qui il a maintenu des contacts téléphoniques, résident en Algérie (cf. le courrier de l'intéressé du 27 févier 2013). Ce réseau familial est susceptible de faciliter la réintégration du recourant dans sa patrie. Par ailleurs, l'intéressé a demandé des visas de retour en vue de se rendre en Algérie durant un mois en printemps 2014 et durant deux mois en été 2012. Enfin, A._______ n'a ni allégué, ni démontré souffrir de problèmes médicaux nécessitant des soins ou des médicaments indisponibles dans son pays d'origine. Compte tenu de l'ensemble des éléments qui précèdent, la réintégration du prénommé dans son pays d'origine ne saurait être considérée comme fortement compromise.</w:t>
      </w:r>
    </w:p>
    <w:p>
      <w:r>
        <w:rPr>
          <w:b/>
        </w:rPr>
        <w:t>E. 6.2.2</w:t>
      </w:r>
    </w:p>
    <w:p>
      <w:r>
        <w:t>Par ailleurs, il est constant que la communauté conjugale du recourant n'a pas été dissoute par le décès de son épouse. De plus, aucun élément ne permet de penser que le mariage a été conclu en violation de la libre volonté d'un des conjoints.</w:t>
      </w:r>
    </w:p>
    <w:p>
      <w:r>
        <w:rPr>
          <w:b/>
        </w:rPr>
        <w:t>E. 6.3</w:t>
      </w:r>
    </w:p>
    <w:p>
      <w:r>
        <w:t>Il y a finalement lieu d'examiner si la poursuite du séjour de A._______ en Suisse s'impose pour l'un des autres motifs mentionnés à l'art. 31 al. 1 OASA (cf. consid. 5.2.1 supra). A ce sujet, le Tribunal relève en préambule qu'il ne saurait prendre en considération l'allégation du recourant selon laquelle il serait entré en Suisse en 1997 (cf. le mémoire de recours p. 1), dès lors que cette affirmation n'est étayée par aucun moyen de preuve probant et qu'elle a été avancée pour la première fois dans le cadre de la présente procédure de recours, alors que dans le cadre de la procédure d'asile, le recourant a confirmé à plusieurs reprises qu'il a vécu dans son pays d'origine jusqu'en avril 2003 et n'est arrivé en Suisse qu'en date du 2 mai 2003 (cf. notamment le procès-verbal de l'audience du 28 mai 2003 p. 6). Par conséquent, il convient de retenir que le recourant séjourne sur le territoire helvétique depuis le 2 mai 2003 et peut donc à ce jour se prévaloir de douze ans de séjour en Suisse. Cependant, la durée du séjour de l'intéressé sur le sol helvétique doit être fortement relativisée, puisque selon la jurisprudence constante du Tribunal, le séjour que le recourant a effectué en Suisse sans être au bénéfice d'une quelconque autorisation, soit les années que A._______ a passées sur le sol helvétique entre l'entrée en force de la décision de l'ODR rejetant sa demande d'asile et son mariage avec B._______, ne doit pas être pris en considération ou alors seulement dans une mesure très restreinte (cf. notamment ATAF 2007/45 consid. 4.4 et 6.3 et ATAF 2007/44 consid. 5.2 et la jurisprudence citée, voir en outre les ATF 134 II 10 consid. 4.3, et130 II 281 consid. 3.3 ainsi que la jurisprudence développée en relation avec l'art. 8 CEDH et confirmée récemment, entre autres, par les arrêts du Tribunal fédéral 2C_1010/2011 du 31 janvier 2012 consid. 2.4 et 2C_75/2011 consid. 3.1). En outre, s'il est certes avéré que le recourant a tissé des liens non négligeables en Suisse, qu'il y exerce une activité lucrative qui lui permet d'être financièrement autonome et qu'il a fait preuve d'un comportement irréprochable hormis les infractions aux prescriptions de police des étrangers qu'il a commises en séjournant et en travaillant en Suisse sans autorisation, ainsi qu'en déposant une demande d'asile sous une fausse identité, il n'en demeure pas moins qu'eu égard à la durée de son séjour sur le territoire helvétique, son intégration socioprofessionnelle ne revêt pas un caractère exceptionnel. L'intéressé n'a en effet pas acquis en Suisse de connaissances ou de qualifications spécifiques telles qu'il ne pourrait pas les mettre en pratique dans sa patrie ou qu'il faille considérer qu'il a fait preuve d'une ascension professionnelle remarquable en Suisse justifiant l'admission d'un cas de rigueur. A ce propos, il convient également de noter que le recourant a fait l'objet de nombreuses poursuites durant son séjour en Suisse (cf. l'attestation de l'Office des poursuites du 8 février 2013). En outre, le recourant ne s'est pas créé en Suisse des attaches sociales à ce point étroites qu'un retour dans son pays d'origine ne puisse être exigé. Compte tenu de ce qui précède et des possibilités de réintégration du recourant en Algérie (cf. consid. 6.2.1 supra), le Tribunal estime que la situation de l'intéressé n'est pas constitutive d'une situation d'extrême gravité.</w:t>
      </w:r>
    </w:p>
    <w:p>
      <w:r>
        <w:rPr>
          <w:b/>
        </w:rPr>
        <w:t>E. 7</w:t>
      </w:r>
    </w:p>
    <w:p>
      <w:r>
        <w:t>En conséquence, le Tribunal est amené à conclure que l'autorité intimée n'a ni excédé ni abusé de son pouvoir d'appréciation en retenant que A._______ ne remplissait pas les conditions de l'art. 50 LEtr et en refusant ainsi de donner son approbation à la prolongation de son autorisation de séjour.</w:t>
      </w:r>
    </w:p>
    <w:p>
      <w:r>
        <w:rPr>
          <w:b/>
        </w:rPr>
        <w:t>E. 8</w:t>
      </w:r>
    </w:p>
    <w:p>
      <w:r>
        <w:t>Dans la mesure où le prénommé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Algérie et le dossier ne fait pas non plus apparaître que l'exécution de ce renvoi serait impossible, illicite ou inexigible au sens de l'art. 83 al. 2 à 4 LEtr.</w:t>
      </w:r>
    </w:p>
    <w:p>
      <w:r>
        <w:rPr>
          <w:b/>
        </w:rPr>
        <w:t>E. 9</w:t>
      </w:r>
    </w:p>
    <w:p>
      <w:r>
        <w:t>Il ressort de ce qui précède que, par sa décision du 19 mars 2015,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