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C-2569/2013 vom 10. November 2014</w:t>
      </w:r>
    </w:p>
    <w:p>
      <w:r>
        <w:t>Bundesverwaltungsgericht, 2014-11-10, DE</w:t>
      </w:r>
    </w:p>
    <w:p>
      <w:r>
        <w:rPr>
          <w:b/>
        </w:rPr>
        <w:t xml:space="preserve">Quelle: </w:t>
      </w:r>
      <w:r>
        <w:t>https://mcp.opencaselaw.ch/entscheid/bvger_C-2569_2013</w:t>
      </w:r>
    </w:p>
    <w:p>
      <w:r>
        <w:t>FR: TAF C-2569/2013 du 10 novembre 2014</w:t>
      </w:r>
    </w:p>
    <w:p>
      <w:r>
        <w:t>IT: TAF C-2569/2013 del 10 novembre 2014</w:t>
      </w:r>
    </w:p>
    <w:p>
      <w:pPr>
        <w:pStyle w:val="Heading2"/>
      </w:pPr>
      <w:r>
        <w:t>Regeste</w:t>
      </w:r>
    </w:p>
    <w:p>
      <w:r>
        <w:t>Rente</w:t>
      </w:r>
    </w:p>
    <w:p>
      <w:pPr>
        <w:pStyle w:val="Heading2"/>
      </w:pPr>
      <w:r>
        <w:t>Erwägungen</w:t>
      </w:r>
    </w:p>
    <w:p>
      <w:r>
        <w:rPr>
          <w:b/>
        </w:rPr>
        <w:t>E. 1.1</w:t>
      </w:r>
    </w:p>
    <w:p>
      <w:r>
        <w:t>Gemäss Art. 31 VGG in Verbindung mit Art. 33 lit. d VGG und Art. 85bis Abs. 1 AHVG (SR 831.10) sowie Art. 5 VwVG beurteilt das Bundesverwaltungsgericht Beschwerden von Personen im Ausland gegen Verfügungen der Schweizerischen Ausgleichskasse. Eine Ausnahme im Sinne von Art. 32 VGG liegt nicht vor.</w:t>
      </w:r>
    </w:p>
    <w:p>
      <w:r>
        <w:rPr>
          <w:b/>
        </w:rPr>
        <w:t>E. 1.2</w:t>
      </w:r>
    </w:p>
    <w:p>
      <w:r>
        <w:t>Nach Art. 37 VGG richtet sich das Verfahren vor dem Bundesverwal­tungsgericht nach dem VwVG, soweit das VGG nichts anderes bestimmt. Indes findet das VwVG aufgrund von Art. 3 Bst. dbis VwVG keine Anwendung in Sozialversicherungssachen, soweit das ATSG (SR 830.1) anwendbar ist, was vorliegend auf Grund von Art. 1 Abs. 1 AHVG der Fall ist.</w:t>
      </w:r>
    </w:p>
    <w:p>
      <w:r>
        <w:rPr>
          <w:b/>
        </w:rPr>
        <w:t>E. 1.3</w:t>
      </w:r>
    </w:p>
    <w:p>
      <w:r>
        <w:t>Als Adressatin des angefochtenen Einspracheentscheides ist die Beschwerdeführerin vom Einspracheentscheid berührt und hat ein schutzwürdiges Interesse an dessen Aufhebung oder Änderung, sodass sie gemäss Art. 59 ATSG beschwerdelegitimiert ist. Rechtsanwalt Reto Joos, der die Beschwerde vom 30. April 2013 unterzeichnet hat, ist von der Beschwerdeführerin am 9. April 2013 rechtsgültig bevollmächtigt worden (B-act. 1). Er ist daher zur Beschwerdeführung im Namen der Beschwerdeführerin legitimiert.</w:t>
      </w:r>
    </w:p>
    <w:p>
      <w:r>
        <w:rPr>
          <w:b/>
        </w:rPr>
        <w:t>E. 1.4</w:t>
      </w:r>
    </w:p>
    <w:p>
      <w:r>
        <w:t>Da die Beschwerde frist- und formgerecht erhoben wurde (vgl. Art. 60 Abs. 1 ATSG und Art. 52 Abs. 1 VwVG), ist darauf einzutreten.</w:t>
      </w:r>
    </w:p>
    <w:p>
      <w:r>
        <w:rPr>
          <w:b/>
        </w:rPr>
        <w:t>E. 2.1</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2.2.1</w:t>
      </w:r>
    </w:p>
    <w:p>
      <w:r>
        <w:t>Der Sozialversicherungsprozess ist vom Untersuchungsgrundsatz beherrscht. Dieser Grundsatz gilt indessen nicht uneingeschränkt; er findet sein Korrelat in den Mitwirkungspflichten der Parteien (vgl. BGE 125 V 193 E. 2, BGE 122 V 157 E. 1a, je mit weiteren Hinweisen). Die Parteien tragen im Sozialversicherungsverfahren in der Regel insofern eine objektive Beweislast, als im Falle der Beweislosigkeit der Entscheid zu Ungunsten jener Partei ausfällt, die aus dem unbewiesen gebliebenen Sach­verhalt Rechte ableitet (BGE 117 V 261 E. 3b, 115 V 133 E. 8a).</w:t>
      </w:r>
    </w:p>
    <w:p>
      <w:r>
        <w:rPr>
          <w:b/>
        </w:rPr>
        <w:t>E. 2.2.2</w:t>
      </w:r>
    </w:p>
    <w:p>
      <w:r>
        <w:t>Das Bundesverwaltungsgericht ist gemäss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Fritz Gygi, Bundesverwaltungsrechtspflege, 2. Auflage 1983, S. 212).</w:t>
      </w:r>
    </w:p>
    <w:p>
      <w:r>
        <w:rPr>
          <w:b/>
        </w:rPr>
        <w:t>E. 2.3</w:t>
      </w:r>
    </w:p>
    <w:p>
      <w:r>
        <w:t>Nach den allgemeinen Regeln sind in zeitlicher Hinsicht grundsätzlich diejenigen materiell-rechtlichen Rechtssätze relevant, die bei der Verwirklichung des zu Rechtsfolgen führenden Sachverhaltes in Geltung standen (BGE 130 V 445 E. 1.2.1 f. S. 447 mit Verweis auf BGE 129 V 1 E. 1.2 und 129 V 169 E. 1, je mit Hinweisen).</w:t>
      </w:r>
    </w:p>
    <w:p>
      <w:r>
        <w:rPr>
          <w:b/>
        </w:rPr>
        <w:t>E. 3</w:t>
      </w:r>
    </w:p>
    <w:p>
      <w:r>
        <w:t>Die Beschwerdeführerin beantragt, es seien ihr die seit September 2010 zustehenden Witwenrenten auszuzahlen.</w:t>
      </w:r>
    </w:p>
    <w:p>
      <w:r>
        <w:rPr>
          <w:b/>
        </w:rPr>
        <w:t>E. 3.1.1</w:t>
      </w:r>
    </w:p>
    <w:p>
      <w:r>
        <w:t>Anspruch auf eine ordentliche Alters- oder Hinterlassenenrente haben die rentenberechtigten Personen, denen für mindestens ein volles Jahr Einkommen, Erziehungs- oder Betreuungsgutschriften angerechnet werden können, oder ihre Hinterlassenen (Art. 29 Abs. 1 AHVG).</w:t>
      </w:r>
    </w:p>
    <w:p>
      <w:r>
        <w:rPr>
          <w:b/>
        </w:rPr>
        <w:t>E. 3.1.2</w:t>
      </w:r>
    </w:p>
    <w:p>
      <w:r>
        <w:t>Anspruch auf eine Witwen- oder Witwerrente haben Witwen oder Witwer, sofern sie im Zeitpunkt der Verwitwung Kinder haben (Art. 23 Abs. 1 AHVG) oder wenn sie das 45. Altersjahr vollendet haben und zusätzlich mindestens während fünf Jahren verheiratet gewesen sind (Art. 24 Abs. 1 AHVG). Gemäss Art. 23 Abs. 3 Satz 1 AHVG entsteht der Anspruch auf die Witwen- oder Witwerrente am ersten Tag des dem Tod des Ehemannes oder der Ehefrau folgenden Monats.</w:t>
      </w:r>
    </w:p>
    <w:p>
      <w:r>
        <w:rPr>
          <w:b/>
        </w:rPr>
        <w:t>E. 3.1.3</w:t>
      </w:r>
    </w:p>
    <w:p>
      <w:r>
        <w:t>Das Ehepaar A.________ war seit 1969 verheiratet und hatte vier Kinder. Als der Ehemann am (...) August 2010 verstarb (SAK 3.1) hatte die Beschwerdeführerin ihr 45. Altersjahr vollendet. Weiter ist unbestritten, dass die Beitragsvoraussetzungen nach Art. 29 AHVG vorliegend erfüllt sind. In Anwendung der vorstehend erwähnten Gesetzesnormen hätte die Beschwerdeführerin somit ab dem 1. September 2010 Anspruch auf eine ordentliche Witwenrente, wie die Vorinstanz in ihrer Vernehmlassung zutreffend darlegt (B-act. 3).</w:t>
      </w:r>
    </w:p>
    <w:p>
      <w:r>
        <w:rPr>
          <w:b/>
        </w:rPr>
        <w:t>E. 3.2</w:t>
      </w:r>
    </w:p>
    <w:p>
      <w:r>
        <w:t>Gemäss Art. 18 Abs. 1 AHVG haben Schweizer Bürger, Ausländer und Staatenlose Anspruch auf Alters- und Hinterlassenenrenten gemäss den nachfolgenden Bestimmungen. Ausländer sowie ihre Hinterlassenen ohne Schweizer Bürgerrecht sind nur rentenberechtigt, solange sie ihren Wohnsitz und gewöhnlichen Aufenthalt (Art. 13 ATSG) in der Schweiz haben. Dieses Erfordernis ist von jeder Person, für die eine Rente ausgerichtet wird, einzeln zu erfüllen. Vorbehalten bleiben (...) abweichende zwischenstaatliche Vereinbarungen, insbesondere mit Staaten, deren Gesetzgebung den Schweizer Bürgern und ihren Hinterlassenen Vorteile bietet, die denjenigen dieses Gesetzes ungefähr gleichwertig sind (Art. 18 Abs. 2 AHVG). Bei Personen, die mehrere sich ablösende Staatsangehörigkeiten besessen haben, ist für die Rentenberechtigung die Staatsangehörigkeit während des Rentenbezugs massgebend (Art. 18 Abs. 2bis AHVG; in Kraft seit 1. Januar 2012, AS 2011 4745).</w:t>
      </w:r>
    </w:p>
    <w:p>
      <w:r>
        <w:rPr>
          <w:b/>
        </w:rPr>
        <w:t>E. 3.3</w:t>
      </w:r>
    </w:p>
    <w:p>
      <w:r>
        <w:t>Die Beschwerdeführerin ist ursprünglich jugoslawische und heute bosnische Staatsangehörige und wohnt in Bosnien (SAK 2.1, 3.2 f.). Der verstorbene Ehemann der Beschwerdeführerin war ebenfalls ursprünglich jugoslawischer Staatsangehöriger und gemäss den Akten zuletzt kosovarischer Staatsangehöriger. Er ist im Kosovo verstorben (vgl. SAK 3.1).</w:t>
      </w:r>
    </w:p>
    <w:p>
      <w:r>
        <w:rPr>
          <w:b/>
        </w:rPr>
        <w:t>E. 3.3.1</w:t>
      </w:r>
    </w:p>
    <w:p>
      <w:r>
        <w:t>Die Schweiz hat mit diversen Nachfolgestaaten des ehemaligen Jugoslawiens neue Abkommen über soziale Sicherheit abgeschlossen, aber bisher weder mit Kosovo noch mit Bosnien und Herzegowina. Gemäss BGE 139 V 263 sind das Abkommen vom 8. Juni 1962 zwischen der Schweizerischen Eidgenossenschaft und der ehemaligen Föderativen Volksrepublik Jugoslawien über Sozialversicherung (SR 0.831.109.818.1 nachfolgend: Abkommen) sowie die Verwaltungsvereinbarung vom 5. Juli 1963 betreffend die Durchführung des Abkommens (SR 0.831.109.818.12) ab dem 1. April 2010 nicht weiter auf kosovarische Staatsangehörige anzuwenden. Hingegen findet das Abkommen bis zum Inkrafttreten des in Ausarbeitung stehenden Abkommens zwischen der Schweiz und Bosnien und Herzegowina in Bezug auf dieses Land weiter Anwendung (vgl. BGE 139 V 263 E. 5.4; 126 V 198 E. 2b; 122 V 381 E. 1 und 119 V 98 E. 3; vgl. auch die Liste der Sozialversicherungsabkommen: http://www.bsv.admin.ch/themen/internationales/02094/index.html?lang=de&amp;download=NHzLpZig7t,lnp6I0NTU042l2Z6ln1acy4Zn4Z2qZpnO2Yuq2Z6gpJCDeYR5gGym162dpYbUzd,Gpd6emK2Oz9aGodetmqaN19XI2IdvoaCVZ,s-.pdf; besucht am 2. Oktober 2014).</w:t>
      </w:r>
    </w:p>
    <w:p>
      <w:r>
        <w:rPr>
          <w:b/>
        </w:rPr>
        <w:t>E. 3.3.2</w:t>
      </w:r>
    </w:p>
    <w:p>
      <w:r>
        <w:t>Nach Art. 2 des Abkommens stehen die Staatsangehörigen der Vertragsstaaten in ihren Rechten und Pflichten aus den in Art. 1 genannten Rechtsbereichen, zu welchen auch die schweizerische Bundesgesetzgebung über die Alters- und Hinterlassenenversicherung gehört, einander gleich, soweit nichts anderes bestimmt ist. Hinsichtlich der Voraussetzungen des Anspruchs auf eine schweizerische Alters- beziehungsweise Hinterlassenenrente sowie der anwendbaren Verfahrensvorschriften sieht das Abkommen keine im vorliegenden Verfahren relevanten Abweichungen vom Grundsatz der Gleichstellung vor. Die Frage, ob und gegebenenfalls ab wann Anspruch auf Leistungen der Hinterlassenenversicherung besteht, bestimmt sich daher ausschliesslich aufgrund der schweizerischen Rechtsvorschriften.</w:t>
      </w:r>
    </w:p>
    <w:p>
      <w:r>
        <w:rPr>
          <w:b/>
        </w:rPr>
        <w:t>E. 3.4</w:t>
      </w:r>
    </w:p>
    <w:p>
      <w:r>
        <w:t>Die Vorinstanz hat der Beschwerdeführerin die Auszahlung der Witwenrente mit der Begründung verweigert, die Nichtweiterführung des Sozialversicherungsabkommens mit Ex-Jugoslawien für Kosovo habe für Staatsangehörige des Kosovo zur Folge, dass diese seit 1. April 2010 nicht mehr die Rechtsstellung von Vertragsausländern innehätten und als Nichtvertragsausländer gelten würden. Der Versicherte sei ausschliesslich kosovarischer Staatsangehöriger gewesen. Unter diesen Umständen habe die Beschwerdeführerin keinen Anspruch auf Leistung einer Witwenrente.</w:t>
      </w:r>
    </w:p>
    <w:p>
      <w:r>
        <w:rPr>
          <w:b/>
        </w:rPr>
        <w:t>E. 3.5</w:t>
      </w:r>
    </w:p>
    <w:p>
      <w:r>
        <w:t>Den Ausführungen der Vorinstanz kann nicht beigepflichtet werden. Dies aus folgendem Grund.</w:t>
      </w:r>
    </w:p>
    <w:p>
      <w:r>
        <w:rPr>
          <w:b/>
        </w:rPr>
        <w:t>E. 3.5.1</w:t>
      </w:r>
    </w:p>
    <w:p>
      <w:r>
        <w:t>Das Bundesgericht hat in BGE 139 V 263 festgehalten, dass das Abkommen der Schweizerischen Eidgenossenschaft mit der ehemaligen Föderativen Volksrepublik Jugoslawien über Sozialversicherung nicht weiter auf kosovarische Staatsangehörige anzuwenden ist (oben E. 3.3.1). Dies hat es in der Folge mehrfach bestätigt (Urteile BGer 9C_27/2013 und 9C_317/2013 je vom 22. August 2013, 9C_278/2013 vom 3. September 2013, 9C_140/2013 vom 31. Oktober 2013 und 9C_557/2013 vom 7. Januar 2014). Den oben erwähnten Bundesgerichtsurteilen lag jeweils der vergleichbare Sachverhalt zu Grunde, dass die Personen, welche einen Anspruch auf eine Hinterlassenenrente nach Schweizer Recht geltend gemacht hatten, gemäss den Akten (nur) über die Staatsangehörigkeit Kosovo verfügten und in ihren jeweiligen Leistungsanträgen dies so deklariert hatten. Wie das Bundesgericht jeweils explizit geprüft hat, verfügten weder die Antragstellerinnen noch (in einem Teil der Fälle) ihre Kinder über eine Doppelstaatsangehörigkeit im Sinne des am 1. Januar 2012 in Kraft getretenen Art. 18 Abs. 2bis AHVG insofern, als dass auch eine serbische (oder eine andere zweite) Staatsangehörigkeit vorgelegen hätte und dies bereits im Antrag an die SAK deklariert worden wäre. Soweit die Beschwerdeführerinnen im Beschwerdeverfahren vor Bundesgericht teilweise geltend gemacht hatten, dass Personen aus dem Kosovo automatisch neben der Staatsangehörigkeit des Kosovo auch die serbische Staatsangehörigkeit besitzen würden, verneinte das Bundesgericht einen solchen Automatismus (vgl. BGer 9C_27/2013 E. 5, 9C_317/2013 E. 5, 9C_278/2013 E. 5.1, 9C_140/2013 E. 3.1, 9C_557/2013 E. 3.1, je mit Verweis auf BGE 139 V 263 E. 12.2).</w:t>
      </w:r>
    </w:p>
    <w:p>
      <w:r>
        <w:rPr>
          <w:b/>
        </w:rPr>
        <w:t>E. 3.5.2</w:t>
      </w:r>
    </w:p>
    <w:p>
      <w:r>
        <w:t>Vorliegend geht aus den Akten hervor und wird von der Vorinstanz nicht bestritten, dass die Beschwerdeführerin - anders als ihr verstorbener Ehemann - im heutigen Bosnien geboren ist, die bosnische Staatsangehörigkeit besitzt, in Bosnien wohnt und dies in ihrem Antrag auf eine Hinterlassenenrente auch so deklariert hatte (SAK 2.1, 3.4, 3.12). Es liegt demnach ein sich von den erwähnten Bundesgerichtsurteilen unterscheidender Sachverhalt vor, insofern als die Beschwerdeführerin gemäss den Akten über eine bosnische Staatsangehörigkeit verfügt, über die bosnische Staatsangehörigkeit bereits bei Eintritt des Versicherungsfalls per 1. September 2010 verfügte und dies auch immer so geltend gemacht hatte.</w:t>
      </w:r>
    </w:p>
    <w:p>
      <w:r>
        <w:rPr>
          <w:b/>
        </w:rPr>
        <w:t>E. 3.5.3</w:t>
      </w:r>
    </w:p>
    <w:p>
      <w:r>
        <w:t>Wie in E. 3.3.1 dargelegt wurde, ist das Abkommen zwischen der Schweizerischen Eidgenossenschaft und der ehemaligen Föderativen Volksrepublik Jugoslawien über Sozialversicherung für Bosnien und Herzegowina weiterhin anwendbar und die nach Schweizer Recht direkt anspruchsberechtigte Beschwerdeführerin als Staatsangehörige dieses Landes mit dortigem Wohnsitz entgegen der Auffassung der Vorinstanz als Vertragsinländerin gemäss Art. 18 Abs. 2 AHVG zu betrachten. Unter diesen Umständen hat die Beschwerdeführerin einen Anspruch auf die Leistung einer schweizerischen Witwenrente. Ob die Beschwerdeführerin allenfalls auch noch über eine kosovarische Staatsangehörigkeit verfügt, kann vorliegend offen bleiben, da bei einer Doppelbürgerschaft je eines Staatsvertragsstaats und eines Nichtstaatsvertragsstaats die Staatsvertragsstaatsangehörigkeit zu Gunsten der versicherten Person vorgeht (vgl. Urteil des Bundesverwaltungsgerichts C-4236/2011 vom 22. August 2013 E. 3.4 und 4.2.3 mit Hinweisen auf BGE 139 V 263 E. 9.2 und 119 V 2 E. 2b f.).</w:t>
      </w:r>
    </w:p>
    <w:p>
      <w:r>
        <w:rPr>
          <w:b/>
        </w:rPr>
        <w:t>E. 3.5.4</w:t>
      </w:r>
    </w:p>
    <w:p>
      <w:r>
        <w:t>Somit steht fest, dass die Vorinstanz der Beschwerdeführerin zu Unrecht die Auszahlung ihrer Witwenrente verweigert hat. Die Beschwerde ist daher gutzuheissen und die Vorinstanz anzuweisen, der Beschwerdeführerin die ausstehenden Witwenrenten auszurichten. Diese sind gemäss Art. 26 Abs. 2 ATSG zu verzinsen, wobei zu beachten ist, dass die Beschwerdeführerin ihren Antrag erst am 2. Januar 2012 eingereicht hat.</w:t>
      </w:r>
    </w:p>
    <w:p>
      <w:r>
        <w:rPr>
          <w:b/>
        </w:rPr>
        <w:t>E. 3.6</w:t>
      </w:r>
    </w:p>
    <w:p>
      <w:r>
        <w:t>Soweit die Beschwerdeführerin replikweise einen Verstoss gegen das Willkürverbot und gegen das Gleichbehandlungsgebot rügt, ist bei diesem Ausgang des Verfahrens nicht weiter darauf einzugehen.</w:t>
      </w:r>
    </w:p>
    <w:p>
      <w:r>
        <w:rPr>
          <w:b/>
        </w:rPr>
        <w:t>E. 4.1</w:t>
      </w:r>
    </w:p>
    <w:p>
      <w:r>
        <w:t>Das Verfahren ist für die Parteien kostenlos (Art. 85bis Abs. 2 AHVG), sodass keine Verfahrenskosten zu erheben sind.</w:t>
      </w:r>
    </w:p>
    <w:p>
      <w:r>
        <w:rPr>
          <w:b/>
        </w:rPr>
        <w:t>E. 4.2</w:t>
      </w:r>
    </w:p>
    <w:p>
      <w:r>
        <w:t>Die anwaltlich vertretene Beschwerdeführerin hat gemäss Art. 64 Abs. 1 VwVG in Verbindung mit Art. 7 ff. des Reglements vom 21. Feb­ruar 2008 über die Kosten und Entschädigungen vor dem Bundesverwaltungsgericht (VGKE, SR 173.320.2) Anspruch auf eine Parteientschädigung zu Lasten der Vorinstanz für die ihr erwachsenen notwendigen Kosten. Da keine Kostennote eingereicht wurde, ist die Entschädigung aufgrund der Akten festzusetzen (vgl. Art. 14 Abs. 2 VGKE). Unter Berücksichtigung des aktenkundigen Aufwands erscheint eine Entschädigung von pauschal Fr. 1'500.- als angemessen. Nicht zu entschädigen ist die Mehrwertsteuer (vgl. Art. 1 Abs. 2 in Verbindung mit Art. 8 und Art. 18 Abs. 1 MWSTG [SR 641.20]). Diese Entschädigung geht zu Lasten der Vorinstanz.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