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C-2563/2011 vom 17. Oktober 2011</w:t>
      </w:r>
    </w:p>
    <w:p>
      <w:r>
        <w:t>Bundesverwaltungsgericht, 2011-10-17, FR</w:t>
      </w:r>
    </w:p>
    <w:p>
      <w:r>
        <w:rPr>
          <w:b/>
        </w:rPr>
        <w:t xml:space="preserve">Quelle: </w:t>
      </w:r>
      <w:r>
        <w:t>https://mcp.opencaselaw.ch/entscheid/bvger_C-2563_2011</w:t>
      </w:r>
    </w:p>
    <w:p>
      <w:r>
        <w:t>FR: TAF C-2563/2011 du 17 octobre 2011</w:t>
      </w:r>
    </w:p>
    <w:p>
      <w:r>
        <w:t>IT: TAF C-2563/2011 del 17 ottobre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En ce qui concerne les faits déterminants, selon la jurisprudence, le Tribunal de céans doit se limiter à examiner la situation de fait existant jusqu'à la date de la décision attaquée (ATF 130 V 445 consid. 1.2).</w:t>
      </w:r>
    </w:p>
    <w:p>
      <w:r>
        <w:rPr>
          <w:b/>
        </w:rPr>
        <w:t>E. 4</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l'AI pendant plus de trois années au total (pce 45) et remplit, partant, la condition de la durée minimale de cotisations. 5.1. 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 5.2.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5.3. 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5.4. Le droit à la rente prend naissance au plus tôt à l'échéance d'une période de six mois à compter de la date à laquelle l'assuré a fait valoir son droit aux prestations (art. 29 al. 1 LAI). 5.5. 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En l'occurrence, le recourant conteste le délai de carence d'une année à compter de la date de la reconnaissance de l'invalidité et soutient qu'il a droit à la rente au plus tard trois mois après le dépôt de sa demande de rente, soit en mars 2010.</w:t>
      </w:r>
    </w:p>
    <w:p>
      <w:r>
        <w:rPr>
          <w:b/>
        </w:rPr>
        <w:t>E. 6.2</w:t>
      </w:r>
    </w:p>
    <w:p>
      <w:r>
        <w:t>Selon l'art. 28 al. 1 let. b et c LAI, pour que le droit à la rente puisse naître, il faut que l'assuré ait présenté une incapacité de travail d'au moins 40 % en moyenne durant une année sans interruption notable et qu'au terme de cette année il soit invalide à 40 % au moins. Or, en l'espèce, le médecin de l'OAIE a fixé le début de l'incapacité de travail au 9 novembre 2009 suite à l'hospitalisation pour décompensation respiratoire retenant à partir de cette date une détérioration des fonctions pulmonaires avec hypoxémie au repos nécessitant l'instauration d'une oxygénothérapie continue à domicile. Dès lors, le Tribunal, en l'absence de toute autre documentation médicale qui permettrait de retenir que l'état de santé du recourant a subi des modifications déterminantes avant cette date, à retenir encore que le rapport E 213 du 8 avril 2010 considérait le recourant apte pour des travaux légers, peut suivre l'avis du médecin de l'OAIE et conclure qu'une incapacité de travail a débuté le 9 novembre 2009. Ainsi c'est à juste titre que l'OAIE a retenu que le droit à la rente est né une année après cette date et a reconnu le droit à la rente entière dès le 1er novembre 2010. Par conséquent, le recours doit être rejeté et la décision attaquée confirmée.</w:t>
      </w:r>
    </w:p>
    <w:p>
      <w:r>
        <w:rPr>
          <w:b/>
        </w:rPr>
        <w:t>E. 7</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8.1</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8.2</w:t>
      </w:r>
    </w:p>
    <w:p>
      <w:r>
        <w:t>Il n'est pas alloué de dépens (art. 64 al. 1PA a contrario en relation avec les art. 7 ss FITAF). (dispositif à la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