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C-2556/2012 vom 27. Juli 2012</w:t>
      </w:r>
    </w:p>
    <w:p>
      <w:r>
        <w:t>Bundesverwaltungsgericht, 2012-07-27, FR</w:t>
      </w:r>
    </w:p>
    <w:p>
      <w:r>
        <w:rPr>
          <w:b/>
        </w:rPr>
        <w:t xml:space="preserve">Quelle: </w:t>
      </w:r>
      <w:r>
        <w:t>https://mcp.opencaselaw.ch/entscheid/bvger_C-2556_2012</w:t>
      </w:r>
    </w:p>
    <w:p>
      <w:r>
        <w:t>FR: TAF C-2556/2012 du 27 juillet 2012</w:t>
      </w:r>
    </w:p>
    <w:p>
      <w:r>
        <w:t>IT: TAF C-2556/2012 del 27 luglio 2012</w:t>
      </w:r>
    </w:p>
    <w:p>
      <w:pPr>
        <w:pStyle w:val="Heading2"/>
      </w:pPr>
      <w:r>
        <w:t>Regeste</w:t>
      </w:r>
    </w:p>
    <w:p>
      <w:r>
        <w:t>Droit à la rente</w:t>
      </w:r>
    </w:p>
    <w:p>
      <w:pPr>
        <w:pStyle w:val="Heading2"/>
      </w:pPr>
      <w:r>
        <w:t>Erwägungen</w:t>
      </w:r>
    </w:p>
    <w:p>
      <w:r>
        <w:rPr>
          <w:b/>
        </w:rPr>
        <w:t>E. 1</w:t>
      </w:r>
    </w:p>
    <w:p>
      <w:r>
        <w:t>La cause C-2556/2012 est rayée du rôle ensuite du retrait du recours.</w:t>
      </w:r>
    </w:p>
    <w:p>
      <w:r>
        <w:rPr>
          <w:b/>
        </w:rPr>
        <w:t>E. 2</w:t>
      </w:r>
    </w:p>
    <w:p>
      <w:r>
        <w:t>Il n'est pas perçu de frais de procédure, ni alloué de dépens.</w:t>
      </w:r>
    </w:p>
    <w:p>
      <w:r>
        <w:rPr>
          <w:b/>
        </w:rPr>
        <w:t>E. 3</w:t>
      </w:r>
    </w:p>
    <w:p>
      <w:r>
        <w:t>La présente décision est adressée : - au conseil du recourant (Recommandé avec avis de réception) - à l'autorité inférieure (n° de réf.) - à l'Office fédéral des assurances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