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C-2552/2014 vom 2. Dezember 2014</w:t>
      </w:r>
    </w:p>
    <w:p>
      <w:r>
        <w:t>Bundesverwaltungsgericht, 2014-12-02, DE</w:t>
      </w:r>
    </w:p>
    <w:p>
      <w:r>
        <w:rPr>
          <w:b/>
        </w:rPr>
        <w:t xml:space="preserve">Quelle: </w:t>
      </w:r>
      <w:r>
        <w:t>https://mcp.opencaselaw.ch/entscheid/bvger_C-2552_2014</w:t>
      </w:r>
    </w:p>
    <w:p>
      <w:r>
        <w:t>FR: TAF C-2552/2014 du 2 décembre 2014</w:t>
      </w:r>
    </w:p>
    <w:p>
      <w:r>
        <w:t>IT: TAF C-2552/2014 del 2 dicembre 2014</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dominikanischen Staatsangehörigen um Erteilung eines Visums für einen 90-tägigen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Staatsangehörige der Dominikanischen Republik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Einzelfalles zu würdigen. Anhaltspunkte zur Beurteilung der Gewähr für eine fristgerechte Wiederausreise können sich auch aus der allgemeinen Situation im Herkunftsland der Besucherin oder des Besuchers ergeben. Namentlich bei Einreisegesuchen von Personen aus Staaten bzw. Regionen mit politisch oder wirtschaftlich ungünstigen Verhält­nissen rechtfertigt sich eine kritische Prüfung bzw. eine strenge Praxis, da die persön­liche Interessenlage in solchen Fällen häufig nicht mit dem Ziel und Zweck einer zeitlich befristeten Einreisebewilligung in Einklang steht (vgl. Urteile des BVGer C-3777/2012 vom 28. Januar 2013 E. 5.2 sowie C 4142/2010 vom 15. August 2011 E. 7.2).</w:t>
      </w:r>
    </w:p>
    <w:p>
      <w:r>
        <w:rPr>
          <w:b/>
        </w:rPr>
        <w:t>E. 5.3</w:t>
      </w:r>
    </w:p>
    <w:p>
      <w:r>
        <w:t>In der Dominikanischen Republik sind zweifellos breite Bevölkerungsschichten von vergleichsweise schwierigen wirtschaftlichen Lebensbedingungen betroffen. Die dortige Wirtschaft zeichnete sich zwar über Jahre hinweg durch ein starkes Wachstum von durchschnittlich 5% jährlich aus, seit 2011 ging dieses jedoch kontinuierlich zurück und betrug im Jahre 2013 noch 4,1%. Die Einkommen sind weiterhin sehr ungleich verteilt, da sich dieses Wachstum nicht in einer quer durch die Gesamtgesellschaft gehenden Wohlstandsentwicklung auswirkt und die Armutsquote nach wie vor bei über 40% liegt. Die wichtigsten Einnahmequellen sind der Tourismus, die Exportgewinne aus den Freihandelszonen, die Landwirtschaft und Transferzahlungen der im Ausland lebenden rund 1,4 Mio Dominikaner. Die Netto-Transferzahlungen dieser Personen machen rund 6% des Bruttoinlandprodukts aus und sind seit einigen Jahren auf einem konstanten Niveau. Der überwiegende Teil der Zahlungen stammt aus den USA und Europa (Quelle: Webseite des deutschen Auswärtigen Amtes: www.auswaertiges-amt.de, Aussen- und Europapolitik Länderinformationen Dominikanische Republik Wirtschaft, Stand: Mai 2014; abgerufen im November 2014). Die Dominikanische Republik hat die höchste Arbeitslosenquote in Lateinamerika und der Karibik. Sie lag 2013 bei rund 15% und zeugt von strukturellen Schwächen der dortigen Wirtschaft (vgl. zum Ganzen Urteil des Bundesverwaltungsgerichts C 6495/2012 vom 8. Oktober 2013 E. 5.2 m.w.H.). Vor dem aufgezeigten wirtschaftlichen Hintergrund ist vor allem bei Teilen der jüngeren Bevölkerung ein starker Migrationsdruck festzustellen.</w:t>
      </w:r>
    </w:p>
    <w:p>
      <w:r>
        <w:rPr>
          <w:b/>
        </w:rPr>
        <w:t>E. 5.4</w:t>
      </w:r>
    </w:p>
    <w:p>
      <w:r>
        <w:t>Im Falle der Schweiz wird die Tendenz zur Immigration erfahrungsgemäss dort noch begünstigt, wo durch die Anwesenheit von Verwandten oder Bekannten bereits ein minimales soziales Beziehungsnetz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5.5</w:t>
      </w:r>
    </w:p>
    <w:p>
      <w:r>
        <w:t>Bei der Risikoanalyse sind aber nicht nur solch allgemeine Umstände und Erfahrungen, sondern auch, wie oben ausgeführt, sämtliche Gesichts­punkte des konkreten Einzelfalles zu berücksichtigen. Obliegt einer gesuchstellenden Person im Heimatland beispielsweise eine besondere berufliche, gesellschaftliche oder familiäre Verantwortung, kann dies die Prognose für eine anstandslose Wiederausreise begünstigen (vgl. Urteil des BVGer C-2785/2012 vom 17. Juli 2013 E. 6.4).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Bei der Gesuchstellerin handelt es sich um eine 31-jährige Frau, welche sich in ihrem Visumsantrag als ledig bezeichnete (vgl. Ziff. 9 des persönlichen Einreisegesuches vom 3. Januar 2014). Demgegenüber machten die Gastgeber und Beschwerdeführer geltend, die Eingeladene werde während ihres Besuchsaufenthalts in der Schweiz den Ehegatten und ihre beiden Kinder im Heimatland zurücklassen (vgl. den am 25. März 2014 ausgefüllten Auskunftsbogen zur Verpflichtungserklärung), ohne allerdings Belege für die Existenz einer eigenen Familie vorzulegen. Als Mutter zweier Kinder dürfte die Gesuchstellerin, sei sie nun ledig oder verheiratet, durchaus familiäre Verpflichtungen im Heimatland haben. Das Zurücklassen (minderjähriger) Kinder bildet für sich allein aber noch keine Garantie für eine anstandslose und fristgerechte Wiederausreise nach einem Besuchsaufenthalt. Die Erfahrung zeigt, dass es in aller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von den Beschwerdeführern geltend gemacht - die Betreuung der Kinder durch nahe Angehörige - in casu Vater und Grossmutter - sichergestellt werden kann und die rechtliche Möglichkeit besteht, diese Kinder später nachziehen zu können (vgl. Urteil des BVGer C-4064/2013 vom 18. Juni 2014 E. 6.1).</w:t>
      </w:r>
    </w:p>
    <w:p>
      <w:r>
        <w:rPr>
          <w:b/>
        </w:rPr>
        <w:t>E. 6.2</w:t>
      </w:r>
    </w:p>
    <w:p>
      <w:r>
        <w:t>Die wirtschaftlichen Verhältnisse, in denen sich die Gesuchstellerin befindet, lassen ebenfalls nicht auf eine günstige Prognose bezüglich einer gesicherten Wiederausreise schliessen, konnte die Eingeladene, welche sich lediglich mit einer Studienbestätigung auswies, doch anlässlich ihrer Gesuchseinreichung weder Angaben zu ihrer beruflichen Tätigkeit noch zu einem allfälligen Arbeitgeber machen (vgl. Ziff. 19 und 20 des persönlichen Einreisegesuches). Entsprechend hielt die Schweizerische Vertretung in Santo Domingo bei der Prüfung des Einreisegesuches gegenüber der Vorinstanz fest, die Gesuchstellerin sei arbeitslos. Ungeachtet dessen machten die Beschwerdeführer gegenüber der kantonalen Migrationsbehörde jedoch geltend, die eingeladene Cousine sei als Primarlehrerin tätig. Entsprechende Arbeitsbestätigungen oder allfällige Einkommensbelege, welche die angeblichen beruflichen Bindungen der Gesuchstellerin in der Dominikanischen Republik zweifelsfrei nachgewiesen hätten, wurden hingegen von den Beteiligten weder während des vorinstanzlichen Verfahrens noch auf Beschwerdeebene vorgewiesen. Aufgrund dieser Aktenlage kann jedenfalls nicht von einer beruflichen Verankerung oder auch nur von vorteilhaften wirtschaftlichen Verhältnissen ausgegangen werden, die nachhaltig von einer Emigration abzuhalten vermöchten. Vor diesem Hintergrund müssen die Beteuerungen auf Beschwerdeebene, wonach genügend Garantien für eine fristgerechte Wiederausreise vorhanden seien, als nicht ausschlaggebend bezeichnet werden. Dies umso weniger, als die von der Schweizervertretung sowie der Vorinstanz geäusserten Zweifel am Aufenthaltszweck, die von den Beschwerdeführern im Verlaufe des Verfahrens nicht ausgeräumt werden konnten, als durchaus begründet erscheinen.</w:t>
      </w:r>
    </w:p>
    <w:p>
      <w:r>
        <w:rPr>
          <w:b/>
        </w:rPr>
        <w:t>E. 6.3</w:t>
      </w:r>
    </w:p>
    <w:p>
      <w:r>
        <w:t>Vor dem dargelegten allgemeinen und persönlichen Hintergrund durfte die Vorinstanz, die bereits zwei früheren Einreisebegehren aus den gleichen Gründen nicht stattgegeben hatte, demnach willkürfrei davon ausgehen, dass keine hinreichende Gewähr für eine fristgerechte und anstandslose Wiederausreise der Gesuchstellerin nach einem Besuchsaufenthalt besteht. An dieser Beurteilung ändert die Tatsache nichts, dass die Beschwerdeführer die in Art. 7 Abs. 1 VEV geregelte Verpflichtungserklärung abgegeben und damit ihr Vertrauen in ein rechtskonformes Verhalten ihres Gastes zum Ausdruck gebracht haben. Bei der Risikobeurteilung ist in erster Linie das mögliche Verhalten des Gastes selbst von Bedeutung. Als Gastgeber können die Beschwerdeführer mit rechtlich verbindlicher Wirkung zwar für gewisse finanzielle Risiken im Zusammenhang mit dem Besuchsaufenthalt, nicht aber für ein bestimmtes Tun oder Unterlassen ihres Gastes einstehen (vgl. in diesem Zusammenhang auch BVGE 2009/27 E. 9).</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(vgl. dazu E. 4.5) wurden von den Beschwerdeführern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