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C-2552/2008 vom 17. Dezember 2009</w:t>
      </w:r>
    </w:p>
    <w:p>
      <w:r>
        <w:t>Bundesverwaltungsgericht, 2009-12-17, IT</w:t>
      </w:r>
    </w:p>
    <w:p>
      <w:r>
        <w:rPr>
          <w:b/>
        </w:rPr>
        <w:t xml:space="preserve">Quelle: </w:t>
      </w:r>
      <w:r>
        <w:t>https://mcp.opencaselaw.ch/entscheid/bvger_C-2552_2008</w:t>
      </w:r>
    </w:p>
    <w:p>
      <w:r>
        <w:t>FR: TAF C-2552/2008 du 17 décembre 2009</w:t>
      </w:r>
    </w:p>
    <w:p>
      <w:r>
        <w:t>IT: TAF C-2552/2008 del 17 dicembre 2009</w:t>
      </w:r>
    </w:p>
    <w:p>
      <w:pPr>
        <w:pStyle w:val="Heading2"/>
      </w:pPr>
      <w:r>
        <w:t>Regeste</w:t>
      </w:r>
    </w:p>
    <w:p>
      <w:r>
        <w:t>Assegnazione alle tariffe dei premi</w:t>
      </w:r>
    </w:p>
    <w:p>
      <w:pPr>
        <w:pStyle w:val="Heading2"/>
      </w:pPr>
      <w:r>
        <w:t>Erwägungen</w:t>
      </w:r>
    </w:p>
    <w:p>
      <w:r>
        <w:rPr>
          <w:b/>
        </w:rPr>
        <w:t>E. 1</w:t>
      </w:r>
    </w:p>
    <w:p>
      <w:r>
        <w:t>In virtù dell'art. 31 LTAF,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INSAI/SUVA concernenti l'attribuzione delle aziende e degli assicurati alle classi e ai gradi delle tariffe dei premi possono essere portate innanzi al TAF conformemente all'art. 109 lett. b della legge federale del 20 marzo 1981 sull'assicurazione contro gli infortuni (LAINF, RS 832.20).</w:t>
      </w:r>
    </w:p>
    <w:p>
      <w:r>
        <w:rPr>
          <w:b/>
        </w:rPr>
        <w:t>E. 2</w:t>
      </w:r>
    </w:p>
    <w:p>
      <w:r>
        <w:t>La procedura dinanzi al Tribunale amministrativo federale è retta dalla PA, in quanto non è disposto altrimenti (art. 37 LTAF). Giusta l'art. 3 lett. dbis PA, sono riservate le disposizioni speciali della legge federale del 6 ottobre 2000 sulla parte generale del diritto delle assicurazioni sociali (LPGA; RS 830.1). I ricorsi sono stati presentati nel termine e nelle forme legali (art. 38 seg., 60 LPGA, art. 52 PA). Nella sua qualità di datrice di lavoro la ricorrente è debitrice dei premi d'assicurazione obbligatori contro gli infortuni professionali e non (art. 91 cpv. 1 LAIF). Essa è pertanto toccata dalle decisioni su opposizione ed ha un interesse degno di protezione al loro annullamento o modifica (art. 59 LPGA). Si può quindi esaminare sul merito i ricorsi, preso atto, inoltre, del pagamento dell'anticipo per le spese processuali.</w:t>
      </w:r>
    </w:p>
    <w:p>
      <w:r>
        <w:rPr>
          <w:b/>
        </w:rPr>
        <w:t>E. 3</w:t>
      </w:r>
    </w:p>
    <w:p>
      <w:r>
        <w:t>I due ricorsi sono stati presentati contro le due decisioni del 5 marzo 2008 che riguardano lo stesso oggetto (premi per infortuni professionali 2007 e 2008). Le parti in causa sono identiche. Pertanto, per economia di procedura, si giustifica di riunire le due procedure (DTF 129 II 18 consid. 1.1 con i rif.).</w:t>
      </w:r>
    </w:p>
    <w:p>
      <w:r>
        <w:rPr>
          <w:b/>
        </w:rPr>
        <w:t>E. 4.1</w:t>
      </w:r>
    </w:p>
    <w:p>
      <w:r>
        <w:t>Conformemente all'art. 49 PA, il ricorrente può far valere la violazione del diritto federale, compreso l'eccesso o l'abuso del potere di apprezzamento, l'accertamento inesatto o incompleto di fatti giuridicamente rilevanti e l'inadeguatezza. Se la questione da giudicare presuppone delle conoscenze tecniche specifiche, come nel caso dell'attribuzione delle aziende alle classi e gradi delle tariffe dei premi, il giudice deve esaminare l'inadeguatezza della decisione impugnata con un certo riserbo, limitandosi ad intervenire solo se l'autorità inferiore ha abusato del suo potere di apprezzamento (DTF 130 II 449 consid. 4.1 con i rif.). Nell'ambito delle tariffe dei premi la cognizione del Tribunale si limita ad esaminare, da una parte, la correttezza della tariffa da applicare e, dall'altra, se la decisione in questione ha fissato la posizione della ditta nel tariffario conformemente alla legge.</w:t>
      </w:r>
    </w:p>
    <w:p>
      <w:r>
        <w:rPr>
          <w:b/>
        </w:rPr>
        <w:t>E. 4.2</w:t>
      </w:r>
    </w:p>
    <w:p>
      <w:r>
        <w:t>In virtù del principio inquisitorio, il Tribunale deve accertare i fatti pertinenti ed ordinare d'ufficio le prove necessarie (cfr. art. 12 PA); egli applica d'ufficio il diritto. Le parti sono tenute a collaborare all'accertamento dei fatti (art. 13 PA) e motivare il ricorso (art. 52 PA). Di conseguenza, l'autorità giudiziaria si limita ad esaminare, di principio, gli argomenti sollevati con il ricorso e non entra nel merito di questioni di diritto non espressamente invocate perlomeno nelle misura in cui queste non facciano parte del contesto generale della fattispecie (cfr. DTF 119 V 347 consid. 1a; ALEXANDRA RUMO-JUNGO, Bundesgesetz über die Unfallversicherung, 3a edizione, Zurigo 2003, p. 348).</w:t>
      </w:r>
    </w:p>
    <w:p>
      <w:r>
        <w:rPr>
          <w:b/>
        </w:rPr>
        <w:t>E. 5</w:t>
      </w:r>
    </w:p>
    <w:p>
      <w:r>
        <w:t>I gravami inoltrati contro le decisioni del 5 marzo 2008 riguardano i premi dovuti dall'insorgente per il 2007 e 2008 per gli infortuni professionali. L'insorgente non contesta né l'assoggettamento all'INSAI/SUVA, né l'attribuzione alla classe 41A della tariffa dei premi nella sua qualità d'impresa di costruzioni. L'insorgente si oppone invece al grado di rischio attribuitole che sarebbe più elevato di quello reale. Postula quindi che le venga attribuito un grado massimo di 111 per il 2007 (corrispondente a un premio del 4.28%) e un grado di 110 per il 2008 (4.08%), mentre l'INSAI/SUVA le assegna un grado di rischio 115 per il 2007 e il 2008 (5.21%). L'insorgente fa valere che il grado di rischio è stato determinato tenendo conto delle esperienze e dei risultati di un'impresa acquisita nell'ambito di un fallimento (B._______). A suo parere sarebbe stato corretto riferirsi a un grado corrispondente al rischio reale o, al massimo, al tasso di base del ramo.</w:t>
      </w:r>
    </w:p>
    <w:p>
      <w:r>
        <w:rPr>
          <w:b/>
        </w:rPr>
        <w:t>E. 6.1</w:t>
      </w:r>
    </w:p>
    <w:p>
      <w:r>
        <w:t>L'INSAI/SUVA si oppone alla richiesta dell'insorgente facendo valere che questo punto è cresciuto in giudicato con la decisione del 30 ottobre 2007 relativa ai premi 2006. In quella occasione il grado di rischio (e quindi il premio) era stato determinato tenendo conto, tra l'altro, del grado di rischio della società B._______ in fallimento, ripresa da A._______ nel marzo 2006. Nella misura in cui i premi 2007 e 2008 sono stati calcolati sulla base degli stessi dati 2006, pur essendo adeguati al ribasso alla luce delle esperienze favorevoli di A._______ nel 2006, non sarebbe più possibile riesaminare nella loro totalità le basi di calcolo e quindi il grado di rischio. In altre parole, il grado di rischio 2007 e 2008 scaturirebbe direttamente dal premio 2006.</w:t>
      </w:r>
    </w:p>
    <w:p>
      <w:r>
        <w:rPr>
          <w:b/>
        </w:rPr>
        <w:t>E. 6.2</w:t>
      </w:r>
    </w:p>
    <w:p>
      <w:r>
        <w:t>La tesi dell'INSAI/SUVA si fonda su una vecchia prassi della CRAI (vedi giudizio non pubblicato CRAI 233/96 del 27 ottobre 1997). L'autorità inferiore ritiene che l'attribuzione a una classe (o a un grado di rischio) è qualificabile come una decisione di principio avente in linea di massima forza di cosa giudicata. Lo scrivente Tribunale ha tuttavia nel frattempo precisato nella sentenza ATAF 2008/54 del 26 settembre 2008, che l'attribuzione a una classe può essere impugnata anche allorquando la decisione di classificazione nel tariffario dei premi non fa che confermare un'attribuzione precedente. La stessa soluzione si impone quando viene contestata non l'attribuzione a una classe ma quella a un grado di rischio come nella fattispecie. In effetti, le classi e i gradi di rischio fanno parte della motivazione della decisione di fissazione dei premi e per questo motivo non possono crescere in giudicato ma, al contrario, devono potere essere contestati in occasione dell'emanazione di ogni decisione sui premi (consid. 2.3.3 e 2.4.3 della sentenza citata). Si deve pertanto esaminare sul merito la censura sollevata dall'insorgente relativamente alla ripresa dei rischi di B._______ in fallimento.</w:t>
      </w:r>
    </w:p>
    <w:p>
      <w:r>
        <w:rPr>
          <w:b/>
        </w:rPr>
        <w:t>E. 7</w:t>
      </w:r>
    </w:p>
    <w:p>
      <w:r>
        <w:t>A titolo preliminare va osservato che giusta l'art. 113 cpv. 3 dell'ordinanza del 20 dicembre 1982 sull'assicurazione contro gli infortuni (OAIF, RS 832.202) i cambiamenti delle tariffe dei premi nonché le ripartizioni delle aziende in classi e gradi del tariffario dei premi ai sensi dell'articolo 92 capoverso 5 della legge, devono essere comunicati alle aziende interessate almeno due mesi prima dell'inizio del nuovo esercizio contabile. Le proposte dei titolari d'azienda in vista della modifica della ripartizione per il prossimo esercizio contabile devono essere inoltrate entro gli stessi termini. Nella fattispecie questi termini non sono stati rispettati per lo meno per i premi relativi al 2007. L'INSAI/SUVA non avrebbe quindi potuto fissare i premi relativi al 2007 a 6.03%, ma avrebbe dovuto basarsi sugli stessi elementi contenuti nella decisione relativa al 2006 e stabilire un premio di 5.18%. Questa questione può tuttavia rimanere irrisolta dal momento che, come si vedrà in seguito, le decisioni impugnate devono essere annullate per un altro motivo.</w:t>
      </w:r>
    </w:p>
    <w:p>
      <w:r>
        <w:rPr>
          <w:b/>
        </w:rPr>
        <w:t>E. 8.1</w:t>
      </w:r>
    </w:p>
    <w:p>
      <w:r>
        <w:t>A partire dal 1° gennaio 2007 la classe 41A, a cui è attribuita A._______ che non contesta tale attribuzione, è suddivisa in quattro sottoclassi (per un esempio si rimanda alla sentenza del TAF C-3189/2006). A._______ è stata attribuita alla sottoclasse A ciò che non è neppure contestato. Alla classe 41A è applicato di principio il sistema bonus-malus 03 (SBM 03), a condizione che la ditta in questione versi un premio di base compreso tra Fr. 30'000.- e Fr. 1'800'000.-, ciò che è il caso nella fattispecie.</w:t>
      </w:r>
    </w:p>
    <w:p>
      <w:r>
        <w:rPr>
          <w:b/>
        </w:rPr>
        <w:t>E. 8.2</w:t>
      </w:r>
    </w:p>
    <w:p>
      <w:r>
        <w:t>In merito al SBM 03 è opportuno ricordare che per determinare i premi dovuti da una ditta si tiene conto, in una certa misura, dei sinistri di ogni singola azienda. In tal senso, l'INSAI/SUVA raffronta i rischi imputabili a un'azienda per un periodo di 6 anni con i dati medi della comunità di rischio alla quale appartiene. Se i risultati individuali dell'azienda sono migliori di quelli della comunità di rischio, l'azienda beneficia di un bonus, cioè di un premio determinato in base a un grado di rischio inferiore al tasso di base che rappresenta il premio medio della comunità. Nel caso contrario, l'azienda subirà un malus e un grado superiore alla media (cfr. sentenza del TAF C-3189/2006 consid. 8.4 con i rif.). Sono quindi determinanti le esperienze maturate durante un periodo di 6 anni.</w:t>
      </w:r>
    </w:p>
    <w:p>
      <w:r>
        <w:rPr>
          <w:b/>
        </w:rPr>
        <w:t>E. 8.3</w:t>
      </w:r>
    </w:p>
    <w:p>
      <w:r>
        <w:t>Nel caso di nuove aziende, di regola viene assegnato il tasso di base del ramo. Nella fattispecie, a A._______, dopo la ripresa delle attività di B._______ in fallimento non è stato assegnato il tasso di base ma un grado di rischio più elevato (115 invece di 111 di premio di base nel 2007 e 110 nel 2008).</w:t>
      </w:r>
    </w:p>
    <w:p>
      <w:r>
        <w:rPr>
          <w:b/>
        </w:rPr>
        <w:t>E. 9.1</w:t>
      </w:r>
    </w:p>
    <w:p>
      <w:r>
        <w:t>Secondo la prassi dell'INSAI/SUVA, in caso di ripresa di un'attività da parte di una azienda, le esperienze acquisite in materia di rischi dell'azienda cedente sono trasferite all'azienda cessionaria. Sempre secondo la prassi della CRAI, si è in presenza di un trasferimento d'azienda quando l'azienda cessionaria, senza interruzioni di servizio notevoli, continua l'attività dell'azienda cedente e riprende il ramo dell'attività aziendale, mantenendo almeno la metà del personale e mettendo a disposizione dei lavoratori gli stessi strumenti di lavoro, le stesse macchine e le stesse installazioni. Non è determinante che le due aziende abbiano lo stesso proprietario (CRAI 277/96 del 17 maggio 1999 e 436/99 del 23 agosto 2001).</w:t>
      </w:r>
    </w:p>
    <w:p>
      <w:r>
        <w:rPr>
          <w:b/>
        </w:rPr>
        <w:t>E. 9.2</w:t>
      </w:r>
    </w:p>
    <w:p>
      <w:r>
        <w:t>Nella sua sentenza C-3175/2006 del 22 agosto 2007, questo Tribunale ha già avuto l'occasione di osservare che la prassi dell'INSAI/SUVA in materia di ripresa di aziende doveva fare l'oggetto di un regolamento e che, in virtù dell'art. 63 cpv. 4 lett. g LAINF, spettava al Consiglio di amministrazione dell'istituto di emanarlo. Infatti, questa prassi ha un'influenza diretta sulla determinazione delle tariffe e non è possibile, anche per ragioni di legalità e trasparenza, delegare questa competenza dal Consiglio di amministrazione a una divisione tecnica dell'istituto (cfr. consid. 7 della sentenza citata). Con scritto del 1° ottobre 2009, questo Tribunale ha chiesto all'INSAI/SUVA se nel frattempo il Consiglio d'amministrazione aveva emanato un regolamento in tal senso. Il 26 ottobre 2009, l'istituto ha dichiarato che questo non era il caso e che, per emanare le decisioni litigiose, si era basato esclusivamente sulla sua prassi, confermata, a suo parere, dall'allora CRAI. Ora, questo collegio non intravvede motivi per discostarsi dalla sentenza del 22 agosto 2007. Alla tesi dell'autorità inferiore, secondo la quale la sua prassi sarebbe stata confermata dalla CRAI, va opposto che il TAF ha esplicitamente richiesto che vi fosse un'approvazione formale da parte del Consiglio d'amministrazione dell'INSAI/SUVA; inoltre la CRAI non si è mai pronunciata esplicitamente sulla questione della legalità della sua prassi ma solo sul suo contenuto. Per questo collegio rimane quindi valida la soluzione contenuta nella sentenza del 22 agosto 2007. D'altro canto, va ricordato che il 14 novembre 2008 il Consiglio d'amministrazione dell'INSAI/SUVA ha emanato il nuovo tariffario dei premi in vigore dal 1° gennaio 2009 e ha esplicitamente regolamentato la ripresa delle aziende (art. 44 e seg.). Questo tariffario è tuttavia ininfluente per questa vertenza che riguarda i premi 2007 e 2008.</w:t>
      </w:r>
    </w:p>
    <w:p>
      <w:r>
        <w:rPr>
          <w:b/>
        </w:rPr>
        <w:t>E. 9.3</w:t>
      </w:r>
    </w:p>
    <w:p>
      <w:r>
        <w:t>Alla luce di quanto precede, in applicazione della giurisprudenza di questo Tribunale C-3175/2006, si deve accogliere i ricorsi e annullare le decisioni del 5 marzo 2009. La causa deve essere quindi rinviata all'INSAI/SUVA affinché determini nuovamente i premi da versare dalla ricorrente ma senza tenere conto delle esperienze della società B._______ in fallimento.</w:t>
      </w:r>
    </w:p>
    <w:p>
      <w:r>
        <w:rPr>
          <w:b/>
        </w:rPr>
        <w:t>E. 10.1</w:t>
      </w:r>
    </w:p>
    <w:p>
      <w:r>
        <w:t>Visto l'esito dei ricorsi, non sono prelevate spese processuali e gli anticipi versati dalla ricorrente le sono restituiti. Nessuna spesa processuale è messa a carico dell'autorità inferiore che soccombe (art. 63 al. 2 PA).</w:t>
      </w:r>
    </w:p>
    <w:p>
      <w:r>
        <w:rPr>
          <w:b/>
        </w:rPr>
        <w:t>E. 10.2</w:t>
      </w:r>
    </w:p>
    <w:p>
      <w:r>
        <w:t>Giusta l'art. 64 PA, l'autorità di ricorso se ammette il ricorso può assegnare al ricorrente un'indennità per le spese indispensabili e relativamente elevate che ha sopportato. Visti i ricorsi e i successivi scambi di scritti, può essere assegnata alla parte ricorrente un'indennità per le spese ripetibili di Fr. 3'000.- (IVA compresa).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