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C-254/2012 vom 29. August 2012</w:t>
      </w:r>
    </w:p>
    <w:p>
      <w:r>
        <w:t>Bundesverwaltungsgericht, 2012-08-29, DE</w:t>
      </w:r>
    </w:p>
    <w:p>
      <w:r>
        <w:rPr>
          <w:b/>
        </w:rPr>
        <w:t xml:space="preserve">Quelle: </w:t>
      </w:r>
      <w:r>
        <w:t>https://mcp.opencaselaw.ch/entscheid/bvger_C-254_2012</w:t>
      </w:r>
    </w:p>
    <w:p>
      <w:r>
        <w:t>FR: TAF C-254/2012 du 29 août 2012</w:t>
      </w:r>
    </w:p>
    <w:p>
      <w:r>
        <w:t>IT: TAF C-254/2012 del 29 agosto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einzutreten (vgl. Art. 49 ff. VwVG).</w:t>
      </w:r>
    </w:p>
    <w:p>
      <w:r>
        <w:rPr>
          <w:b/>
        </w:rPr>
        <w:t>E. 1.4</w:t>
      </w:r>
    </w:p>
    <w:p>
      <w:r>
        <w:t>Das vorliegende Urteil ist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 und Urteil des Bundesverwaltungsgerichts A-2682/2007 vom 7. Oktober 2010 E. 2 mit Hinweis).</w:t>
      </w:r>
    </w:p>
    <w:p>
      <w:r>
        <w:rPr>
          <w:b/>
        </w:rPr>
        <w:t>E. 3.1</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w:t>
      </w:r>
    </w:p>
    <w:p>
      <w:r>
        <w:rPr>
          <w:b/>
        </w:rPr>
        <w:t>E. 3.2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4.1</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Wie bereits die altrechtliche Einreisesperre stellt das Einreiseverbot keine Sanktion dar (eine solche erweist sich definitions- bzw. naturgemäss als eine Reaktion - im Sinne zumindest auch einer Ahndung - auf vergangenes Fehlverhalten); es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Die Verhängung eines Einreiseverbots knüpft somit an das Bestehen eines Risikos einer künftigen Gefährdung an. Es ist daher gestützt auf die gesamten Umstände des Einzelfalls eine entsprechende Prognose zu fällen, wobei naturgemäss auf die Vergangenheit abgestellt werden muss, mithin in erster Linie auf das vergangene Verhalten der betroffenen Person. Ein vergangenes deliktisches Verhalten ist sodann geeignet, einen Hinweis auf eine Gefährdung in der Zukunft zu liefern (vgl. auch Caterina Nägeli/Nik Schoch, in: Peter Uebersax/Beat Rudin/ Thomas Hugi Yar/Thomas Geiser [Hrsg.], Ausländerrecht, 2. Aufl., Basel 2009, Rz. 22.177, sowie zum Ganzen kritisch: Paul-Lukas Good/ Patrick Sutter, Einreiseverbot als Sanktion für vergangenes Verhalten oder Mittel zur Gegenabwehr?, Sicherheit &amp; Recht 3/2010, S. 199 ff.). Aus diesem Grund verknüpft Art. 67 Abs. 2 Bst. a AuG die Verhängung einer solchen Massnahme unter anderem mit einem (bereits erfolgten) Verstoss gegen die fraglichen Polizeigüter. Art. 80 Abs. 1 Bst. a der Verordnung vom 24. Oktober 2007 über Zulassung, Aufenthalt und Erwerbstätigkeit (VZAE, SR 142.201) konkretisiert lediglich, wie der Begriff des "Verstosses" nach Art. 67 Abs. 2 Bst. a AuG zu verstehen ist; so hält er fest, dass (unter anderem) eine Missachtung gesetzlicher Vorschriften und behördlicher Verfügungen dazu zählt (Bst. a). Das Bundesgericht hat in einem Verfahren betreffend Bewilligungswiderruf in grundlegender Weise festgehalten, eine "längerfristige Freiheitsstrafe" (welche nach Art. 62 Bst. b erster Satzteil AuG einen Widerrufsgrund darstellt) liege vor, wenn gegen eine Person eine Freiheitsstrafe von mehr als einem Jahr ausgefällt worden sei (vgl. BGE 135 II 377 E. 4.2). A fortiori kann im Zusammenhang mit der Verhängung einer Fernhaltemassnahme an diese Rechtsprechung angeknüpft bzw. eine solche Freiheitsstrafe im Rahmen der zu stellenden Prognose gewürdigt werden.</w:t>
      </w:r>
    </w:p>
    <w:p>
      <w:r>
        <w:rPr>
          <w:b/>
        </w:rPr>
        <w:t>E. 4.3</w:t>
      </w:r>
    </w:p>
    <w:p>
      <w:r>
        <w:t>Laut dem Urteil des N._______ vom 7. April 2009 hat der Beschwerdeführer am 29. September 2007 in seinem Auto von U._______, Italien, über die Schweizer Grenze bis Z._______ 1006.87 Gramm Heroin mit einem Reinheitsgrad von 22/23% transportiert, wofür er mit Fr. 2'000.- entschädigt werden sollte. Gestützt auf diesen Sachverhalt wurde er wegen qualifizierter Widerhandlung gegen das Betäubungsmittelgesetz zu 30 Monaten Freiheitsstrafe, wovon 18 Monate bedingt, bei einer Probezeit von drei Jahren verurteilt.</w:t>
      </w:r>
    </w:p>
    <w:p>
      <w:r>
        <w:rPr>
          <w:b/>
        </w:rPr>
        <w:t>E. 4.4</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oder das Urteil des Bundesverwaltungsgerichts C-1379/2011 vom 15. Mai 2012 E. 5.2 mit Hinweisen). Verurteilungen zu Freiheitsstrafen wegen Drogendelikten führten denn auch nach altem Recht - selbst bei lediglich einer Verurteilung - regelmässig zur Anordnung einer Fernhaltemassnahme (siehe beispielsweise Urteile des Bundesverwaltungsgerichts C-8211/2007 vom 16. Mai 2008 E. 5.2 oder C-137/2006 vom 31. März 2008 E. 6.8). Aufgrund der schweren Verfehlungen im Bereich der Betäubungsmittel sind die Voraussetzungen für ein Einreiseverbot gemäss Art. 67 Abs. 2 Bst. a AuG sind - entgegen der Ansicht des Beschwerdeführers - zweifelsohne erfüllt.</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vollständig überarbeitete Aufl., Zürich/St. Gallen 2010, Rz. 613 ff.).</w:t>
      </w:r>
    </w:p>
    <w:p>
      <w:r>
        <w:rPr>
          <w:b/>
        </w:rPr>
        <w:t>E. 5.2</w:t>
      </w:r>
    </w:p>
    <w:p>
      <w:r>
        <w:t>Mit Blick auf die Dauer der verhängten Massnahme von Belang erscheint, dass der Beschwerdeführer selbst nicht drogenabhängig ist und trotz seinem regelmässigen Einkommen, aus rein finanziellen Motiven bereit war, durch Drogenhandel die Gesundheit einer Vielzahl von Menschen erheblichen Gefahren auszusetzen. Er hat das Drogengeschäft nicht nur vermittelt, sondern war in prominenter Stellung an dessen Abwicklung beteiligt, indem er mehr als ein Kilogramm Heroin mit einem Reinheitsgrad von 22/23% über die Grenze transportierte und dem Empfänger überbringen wollte. Nicht unbeachtlich erscheint sodann, dass der Drogenlieferant eine dem Beschwerdeführer zuvor fremde Person ist, mit welcher er offensichtlich lediglich zur Abwicklung des Geschäftes in Kontakt getreten ist. Er konnte damit eine verhältnismässig hohe Hemmschwelle ohne weiteres überwinden. Mitzuberücksichtigen gilt es ferner, dass er nicht selbständig vom Drogenhandel Abstand nahm, sondern erst infolge seiner Verhaftung. Sein Fehlverhalten wiegt aus präventivpolizeilicher Sicht sehr schwer. Aufgrund der im Betäubungsmittelbereich verübten Straftat und insbesondere der massiven Gefährdung vieler (drogenabhängiger) Personen musste der Beschwerdeführer damit rechnen, über Jahre hinweg als Risikofaktor für die öffentliche Sicherheit und Ordnung eingestuft zu werden (vgl. in diesem Sinne - auf der Grundlage anderer Straftaten - BGE 130 II 493 E. 5), was grundsätzlich eine Fernhaltemassnahme von über fünf Jahren rechtfertigt (vgl. Art. 67 Abs. 2 in fine AuG). Zu berücksichtigen gilt es in diesem Zusammenhang, dass bei schweren Straftaten - wozu auch Drogendelikte der vorliegenden Art gehören - in fremdenpolizeilicher Hinsicht selbst ein geringes Restrisiko nicht in Kauf genommen werden muss (Urteil des Bundesgerichts 2C_76/2011 vom 26. Juli 2011 E. 3.). Gemäss ständiger (höchstrichterlicher) Rechtsprechung besteht ein erhebliches öffentliches Interesse an der Fernhaltung ausländischer Drogenhändler (vgl. Urteil des Bundesgerichts 2C_463/2011 vom 23. August 2011 E. 2.4 mit mehreren Hinweisen). Obwohl der Beschwerdeführer Ersttäter ist, in den Genuss des teilbedingten Strafvollzugs kam und sich - soweit bekannt - seit der Straftat im Jahr 2007 nichts Weiteres zu Schulden kommen liess, lassen die näheren Umstände der Straftat auf ein aktuelles, durch die vergleichsweise kurze Bewährungszeit seit der Tatbegehung, nicht entscheidend relativiertes Rückfallrisiko schliessen. Erschwerend kommt hinzu, dass der Beschwerdeführer trotz seiner verantwortungsvollen Stellung als Ehemann und Vater, nur wenige Tage nach der Geburt seines ersten Kindes, die Familie alleine zurückliess und ins Ausland fuhr, um die Straftat zu begehen.</w:t>
      </w:r>
    </w:p>
    <w:p>
      <w:r>
        <w:rPr>
          <w:b/>
        </w:rPr>
        <w:t>E. 5.3</w:t>
      </w:r>
    </w:p>
    <w:p>
      <w:r>
        <w:t>Hinsichtlich seiner persönlichen Interessen weist der Beschwerdeführer auf die Bestimmungen von Art. 8 EMRK und Art. 13 Abs. 1 der Bundesverfassung der Schweizerischen Eidgenossenschaft vom 18. April 1999 (BV; SR 101) hin, zumal er Ehegatte und Vater von zwei Kindern sei und seine Familie in der Schweiz lebe. Die familiäre Beziehung werde massiv eingeschränkt, was erhebliche Zweifel an der Angemessenheit der Massnahme aufkommen lasse. In Bezug auf die Möglichkeit einer Suspension führt er weiter aus, Gesuche um Suspension würden nur ausnahmsweise und nur bei vorliegen wichtiger Gründe gutgeheissen. Dieses formale Recht fände im Ergebnis im Rahmen der Angemessenheitsprüfung kaum Berücksichtigung. Zunächst ist hervorzuheben,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(vgl. Urteil des Bundesverwaltungsgerichts C-4509/2009 vom 7. Januar 2010 E. 7.3 mit weiteren Hinweisen). Die Erteilung und Verlängerung von Aufenthaltsbewilligungen fällt grundsätzlich in die Zuständigkeit der Kantone. Dem Beschwerdeführer ist die Niederlassungsbewilligung durch die zuständige kantonale Behörde widerrufen worden. Die Pflege regelmässiger persönlicher Kontakte zu Ehefrau und Kinder scheitert daher bereits an einem fehlenden Anwesenheitsrecht hierzulande. Somit stellt sich nunmehr die Frage, ob das über die Verweigerung des Aufenthaltsrechts hinausgehende, durch das Einreiseverbot zusätzlich bewirkte Erschwernis vor Art. 8 Ziff. 1 EMRK (und Art. 13 Abs. 1 BV) standhält. Der Beschwerdeführer darf sich derzeit nur zu Besuchszwecken in der Schweiz aufhalten. Eine Aufhebung des Einreiseverbots führte demnach lediglich dazu, dass er den allgemein geltenden Einreisebestimmungen (insbesondere der Visumspflicht) unterstünde (vgl. Art. 4 Abs. 1 der Verordnung vom 22. Oktober 2008 über die Einreise und die Visumserteilung [VEV], SR 142.204] mit Verweis auf die Verordnung [EG] Nr. 539/2001 des Rates vom 15. März 2001, welche im Anhang II (bzw. Anhang I) eine Liste von Drittländern enthält deren Staatsangehörige beim Überschreiten der Aussengrenzen der Schengen-Mitgliedstaaten im Besitze eines Visums sein müssen). Er könnte somit ohnehin nicht bewilligungsfrei in die Schweiz einreisen. Die Wirkungen des Einreiseverbots bestehen zudem nicht darin, dass dem Beschwerdeführer während dessen Geltungsdauer Besuchsaufenthalte bei seinen Familienangehörigen in der Schweiz schlichtweg untersagt wären. Es steht ihm vielmehr die Möglichkeit offen, aus wichtigen Gründen - worunter auch familiäre Gründe fallen - mittels begründetem Gesuch die zeitweilige Suspension der angeordneten Fernhaltemassnahme zu beantragen (Art. 67 Abs. 5 AuG). Die Suspension wird aber praxisgemäss nur für eine kurze und klar begrenzte Zeit gewährt (vgl. zum Ganzen wiederum Urteil des Bundesverwaltungsgerichts C-4509/2009 vom 7. Januar 2010 E. 7.4. mit Hinweisen). Diesbezüglich wendet der Beschwerdeführer ein, die abstrakte Möglichkeit der Suspension sei in Anbetracht der ungewissen Erfolgsaussichten nicht geeignet, den schweren Eingriff in das Familienleben zu mildern. Dabei verkennt er jedoch, dass eine zeitweilige Suspension gerade nicht die Freiheiten eines Visums schaffen soll. Je weiter die Suspensionsmöglichkeiten ausgedehnt werden, um so mehr wird der Zweck des Einreiseverbotes, namentlich die Fernhaltung der betreffenden Person, ausgehöhlt. Daraus rechtfertigt sich eine zurückhaltenden Praxis. Nur der Vollständigkeit halber sei sodann darauf hingewiesen, dass im Zusammenhang mit dem Widerruf der Niederlassungsbewilligung bereits festgehalten worden ist, dass es der Familie des Beschwerdeführers ohne weiteres zumutbar wäre, ihm ins Ausland zu folgen. Dennoch wurde der Entschluss gefasst, dass Ehefrau und Kinder, trotz ihres erst kurzen Aufenthaltes hierzulande, in der Schweiz verbleiben werden. Dies impliziert bereits ein Einverständnis zur faktischen Trennung der Kernfamilie. Als Folge sind auch die damit einhergehenden Einschränkungen in Kauf zu nehmen. Selbst wenn von einem unter dem Gesichtspunkt von Art. 13 Abs. 1 BV und Art. 8 EMRK relevanten Eingriff ausgegangen würde, wäre ein solcher unter den konkreten Begebenheiten gestützt auf Art. 8 Ziff. 2 EMRK als gerechtfertigt zu qualifizieren. Gilt es doch bei der vorzunehmenden Interessenabwägung ordnungs- und sicherheitspolizeilichen Interessen besonderes Gewicht beizumessen (vgl. im Verfahren betreffend das Anwesenheitsrecht Urteil des Bundesgerichts 2C_660/2009 vom 7. Juni 2009 E. 2.3.3 und 2.3.4 mit Hinweisen). Zweifellos erreicht sein Verhalten die notwendige Schwere, um einen Eingriff in das Privat- und Familienleben zu rechtfertigen.</w:t>
      </w:r>
    </w:p>
    <w:p>
      <w:r>
        <w:rPr>
          <w:b/>
        </w:rPr>
        <w:t>E. 5.4</w:t>
      </w:r>
    </w:p>
    <w:p>
      <w:r>
        <w:t>Eine wertende Gewichtung der sich entgegenstehenden Interessen führt das Bundesverwaltungsgericht zum Schluss, dass das auf zehn Jahre verhängte Einreiseverbot unter Berücksichtigung der gängigen Praxis in vergleichbaren Fällen sowohl dem Grundsatz nach als auch in der zeitlichen Wirkung eine verhältnismässige und angemessene Massnahme zum Schutz der öffentlichen Ordnung darstellt.</w:t>
      </w:r>
    </w:p>
    <w:p>
      <w:r>
        <w:rPr>
          <w:b/>
        </w:rPr>
        <w:t>E. 6</w:t>
      </w:r>
    </w:p>
    <w:p>
      <w:r>
        <w:t>Aus diesen Erwägungen ergibt sich, dass die angefochtene Verfügung im Lichte von Art. 49 VwVG nicht zu beanstanden ist. Die Beschwerde ist somit abzuweisen.</w:t>
      </w:r>
    </w:p>
    <w:p>
      <w:r>
        <w:rPr>
          <w:b/>
        </w:rPr>
        <w:t>E. 7</w:t>
      </w:r>
    </w:p>
    <w:p>
      <w:r>
        <w:t>Bei diesem Ausgang des Verfahrens sind die Verfahrenskosten dem Beschwerdeführer aufzuerlegen und mit dem geleisteten Kostenvorschuss zu verrechnen (Art. 63 Abs. 1 VwVG i.V.m. Art. 1, Art. 2 und Art. 3 Bst. b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