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C-2547/2013 vom 21. März 2016</w:t>
      </w:r>
    </w:p>
    <w:p>
      <w:r>
        <w:t>Bundesverwaltungsgericht, 2016-03-21, FR</w:t>
      </w:r>
    </w:p>
    <w:p>
      <w:r>
        <w:rPr>
          <w:b/>
        </w:rPr>
        <w:t xml:space="preserve">Quelle: </w:t>
      </w:r>
      <w:r>
        <w:t>https://mcp.opencaselaw.ch/entscheid/bvger_C-2547_2013</w:t>
      </w:r>
    </w:p>
    <w:p>
      <w:r>
        <w:t>FR: TAF C-2547/2013 du 21 mars 2016</w:t>
      </w:r>
    </w:p>
    <w:p>
      <w:r>
        <w:t>IT: TAF C-2547/2013 del 21 marzo 2016</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effectuée, le recours est recevable.</w:t>
      </w:r>
    </w:p>
    <w:p>
      <w:r>
        <w:rPr>
          <w:b/>
        </w:rPr>
        <w:t>E. 2</w:t>
      </w:r>
    </w:p>
    <w:p>
      <w:r>
        <w:t>L'objet du litige de la présente procédure est le degré d'invalidité de A._______. Alors que l'OAIE estime celui-ci à 46 % dès la demande de prestations du 15 novembre 2002 (ce qui ouvre le droit à un quart de rente), la recourante considère qu'il est de 100 % depuis la même date (ce qui ouvrirait le droit à une rente entière).</w:t>
      </w:r>
    </w:p>
    <w:p>
      <w:r>
        <w:rPr>
          <w:b/>
        </w:rPr>
        <w:t>E. 3.1</w:t>
      </w:r>
    </w:p>
    <w:p>
      <w:r>
        <w:t>L'assurée est ressortissante française résidant en France,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 Pour la période du 1er avril 2012 au 27 mars 2013 (date de la décision attaquée), la nouvelle Annexe II est donc applicable en l'espèce (cf. arrêt du TF 8C_455/2011 du 4 mai 2012).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w:t>
      </w:r>
    </w:p>
    <w:p>
      <w:r>
        <w:rPr>
          <w:b/>
        </w:rPr>
        <w:t>E. 3.3</w:t>
      </w:r>
    </w:p>
    <w:p>
      <w:r>
        <w:t>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 Les ressortissants des Etats membres de la Communauté européenne et les ressortissants suisses bénéficient donc de l'égalité de traitement.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Il sied de souligner que l'octroi d'une rente étrangère d'invalidité ne préjuge pas l'appréciation de l'invalidité selon la loi suisse (arrêt du TF I 435/02 consid. 2 du 4 février 2003; RCC 1989 p. 330).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TF I 376/05 du 5 août 2005 consid. 3.1), étant précisé que la documentation médicale et les renseignements d'ordre administratif recueillis par les institutions de sécurité sociale d'un autre Etat membre doivent être pris en considération (art. 49 al. 2 du règlement [CE] n° 987/2009).</w:t>
      </w:r>
    </w:p>
    <w:p>
      <w:r>
        <w:rPr>
          <w:b/>
        </w:rPr>
        <w:t>E. 4.1</w:t>
      </w:r>
    </w:p>
    <w:p>
      <w:r>
        <w:t>A titre préliminaire, la recourante fait valoir une violation du droit d'être entendue parce que, dans la décision du 27 mars 2013, l'Office AI se borne à renvoyer aux conclusions de l'expertise du G._______ et n'explique pas pour quelle raison il retient les conclusions du rapport et écarte toute incapacité de gain. L'autorité inférieure n'aurait donc pas respecté son obligation de motiver sa décision. De nature formelle, le droit d'être entendu est une règle primordiale de procédure dont la violation entraîne généralement l'annulation de la décision attaquée sans égard aux chances de succès du recours sur le fond du litige. Pour autant qu'elle ne soit pas d'une gravité particulière, une telle violation peut être réparée lorsque la partie lésée a la possibilité de s'exprimer devant une autorité de recours jouissant d'un plein pouvoir d'examen (ATF 137 I 195 consid. 2.3.3 et 132 V 387 consid. 5.1;). La réparation d'un vice éventuel doit cependant demeurer l'exception (ATF 127 V 431 consid. 3d/aa, 126 V 130 consid. 2b; Auer/Malinverni/Hottelier, Droit constitutionnel suisse, volume II: Les droits fondamentaux, 3e édition 2013 p. 620; ATF 134 V 97, consid. 2.9.2).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w:t>
      </w:r>
    </w:p>
    <w:p>
      <w:r>
        <w:rPr>
          <w:b/>
        </w:rPr>
        <w:t>E. 4.2</w:t>
      </w:r>
    </w:p>
    <w:p>
      <w:r>
        <w:t>Le droit d'être entendu est une garantie constitutionnelle (cf. art. 29 al. 2 de la Confédération suisse du 18 avril 1999 [Cst., RS 101]), posant un standard minimum (Pierre Moor/Etienne Poltier, Droit administratif, vol. II. 3e édition, Berne 2011, p. 313). En procédure administrative fédérale, il est inscrit dans les art. 29 ss PA et en matière d'assurance sociale dans les art. 42 LPGA et 57a al. 1 LAI. Il comprend avant tout le droit de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notamment ATF 135 I 187 consid. 2.2 et 132 V 268 consid. 3.1 et les références) ainsi que le droit d'obtenir une décision motivée et le droit de se faire représenter ou assister (ATF 137 IV 33 consid. 9.3, ATF 136 I 265 consid. 3.2 et références citées; ATAF 2010/35 consid. 4.1.2).</w:t>
      </w:r>
    </w:p>
    <w:p>
      <w:r>
        <w:rPr>
          <w:b/>
        </w:rPr>
        <w:t>E. 4.3</w:t>
      </w:r>
    </w:p>
    <w:p>
      <w:r>
        <w:t>La jurisprudence a déduit du droit d'être entendu (art. 29 al. 2 Cst) le devoir pour l'autorité de motiver sa décision, afin que le justiciable puisse la comprendre, la contester utilement s'il y a lieu et exercer son droit de recours à bon escient, et que l'autorité de recours puisse exercer son contrôle (ATF 133 I 270 consid. 3.1; ATF 133 III 439 consid. 3.3; arrêt du Tribunal fédéral 1C_308/2010 du 20 décembre 2010 consid. 3.1.2; ATAF 2010/35 consid. 4.1.2). Pour répondre à ces exigences, l'autorité doit mentionner, au moins brièvement, les motifs qui l'ont guidée et sur lesquels elle a fondé sa décision, de manière à ce que l'intéressé puisse se rendre compte de la portée de celle-ci et l'attaquer en connaissance de cause (ATF 139 IV 179 consid. 2.2; ATF 135 III 670 consid. 3.3.1; ATF 134 I 83 consid. 4.1; ATF 133 III 439 consid. 3.3).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136 I 229 consid. 5.2, ATF 136 I 184 consid. 2.2.1, ATF 135 V 65 consid. 2.6, ATF 134 I 83 consid. 4.1 et ATF 133 III 235 consid. 5.2, et les références citées ; ATAF 2013/23 consid. 6.1.1).</w:t>
      </w:r>
    </w:p>
    <w:p>
      <w:r>
        <w:rPr>
          <w:b/>
        </w:rPr>
        <w:t>E. 4.4</w:t>
      </w:r>
    </w:p>
    <w:p>
      <w:r>
        <w:t>En l'espèce, il convient d'admettre que la motivation de la décision attaquée est relativement sommaire en ce qui concerne les motifs pour lesquels l'OAIE a retenu une pleine capacité de travail dans une activité adaptée. Cette motivation n'est toutefois pas inexistante, dans la mesure où l'OAIE renvoie explicitement aux conclusions de l'expertise du G._______ comme il l'avait déjà fait dans son projet de décision du 15 décembre 2012 (AI pce 144). Le Tribunal considère toutefois que la décision est suffisamment motivée car la recourante connaissait le contenu de l'expertise du G._______ et que l'OAIE prend position sur les griefs que la recourante a fait valoir contre cette expertise après réception du projet de décision dans son courrier du 14 janvier 2013 (AI pce 145). En outre, la recourante a pu contester la décision en connaissance de cause. Il n'y a donc pas de violation du droit d'être entendu.</w:t>
      </w:r>
    </w:p>
    <w:p>
      <w:r>
        <w:rPr>
          <w:b/>
        </w:rPr>
        <w:t>E. 5</w:t>
      </w:r>
    </w:p>
    <w:p>
      <w:r>
        <w:t>Il reste donc à examiner si c'est à bon droit que l'OAIE a refusé d'augmenter la rente d'invalidité.</w:t>
      </w:r>
    </w:p>
    <w:p>
      <w:r>
        <w:rPr>
          <w:b/>
        </w:rPr>
        <w:t>E. 5.1</w:t>
      </w:r>
    </w:p>
    <w:p>
      <w:r>
        <w:t>L'examen du droit à des prestations selon la LAI est régi par la teneur de la LAI au moment de la décision entreprise eu égard au principe selon lequel les règles en vigueur au moment où les faits juridiquement déterminants ou ayant une conséquence juridique se sont produits sont applicables,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 Dans le cas concret, vu la maladie qui a empêché l'activité lucrative dès janvier 2002, la demande du 15 novembre 2002 et la date de la décision attaquée (qui est une première décision), les dispositions dans leur teneur au 15 novembre 2002 et les modifications jusqu'au 27 mars 2013 sont déterminantes.</w:t>
      </w:r>
    </w:p>
    <w:p>
      <w:r>
        <w:rPr>
          <w:b/>
        </w:rPr>
        <w:t>E. 5.2</w:t>
      </w:r>
    </w:p>
    <w:p>
      <w:r>
        <w:t>Pour ce qui est du droit interne, le droit applicable est en principe celui en vigueur dès le 1er janvier 2003, les modifications consécutives à la 4e, 5e et 6e révision de la LAI trouvent également application en l'espèce, étant précisé que les nouvelles normes n'ont pas apporté de changements par rapport à l'ancien droit quant à l'évaluation de l'invalidité dont il convient de procéder in casu.</w:t>
      </w:r>
    </w:p>
    <w:p>
      <w:r>
        <w:rPr>
          <w:b/>
        </w:rPr>
        <w:t>E. 6.1</w:t>
      </w:r>
    </w:p>
    <w:p>
      <w:r>
        <w:t>Selon l'art. 29 LAI (dans sa teneur valable en 2002 au moment de la demande de prestations), le droit à la rente au sens de l'art. 28 prend naissance au plus tôt à la date dès laquelle l'assuré a présenté, en moyenne, une incapacité de travail de 40 % au moins pendant une année sans interruption notable (art. 6 LPGA). En l'espèce, le Tribunal doit examiner si la recourante avait droit à une rente (partielle) le 1er janvier 2003, soit un an après le début des problèmes de santé en janvier 2002 selon l'ancien art. 29 LAI, ou si le droit à une rente était né entre cette date et le 27 mars 2013, date de la décision attaquée marquant la limite dans le temps du pouvoir d'examen de l'autorité de recours (ATF 129 V 1 consid. 1.2; ATF 129 V 222, consid. 4.1; ATF 121 V 362 consid. 1b). Il doit également examiner s'il y a eu une péjoration de l'état de santé avant la date de la décision, et, le cas échéant, prendre cette péjoration en compte.</w:t>
      </w:r>
    </w:p>
    <w:p>
      <w:r>
        <w:rPr>
          <w:b/>
        </w:rPr>
        <w:t>E. 6.2</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selon le Règlement (CEE) n° 1408/71. La recourante a versé des cotisations à l'AVS/AI pendant plus de 3 ans. Elle remplit donc la condition de la durée minimale de cotisations eu égard au moment de l'ouverture éventuelle du droit à la rente. Il reste à examiner si elle est invalide au sens de la LAI.</w:t>
      </w:r>
    </w:p>
    <w:p>
      <w:r>
        <w:rPr>
          <w:b/>
        </w:rPr>
        <w:t>E. 7.1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7.2</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une jurisprudence constante, les données fournies par le médecin constituent néanmoins un élément utile pour apprécier les conséquences de l'atteinte à la santé et pour déterminer quels travaux on peut encore raisonnablement exiger de l'assuré (ATF 125 V 256 consid. 4; ATF 115 V 133 consid. 2).</w:t>
      </w:r>
    </w:p>
    <w:p>
      <w:r>
        <w:rPr>
          <w:b/>
        </w:rPr>
        <w:t>E. 7.3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ATF 139 V 349, ATF 137 V 210).</w:t>
      </w:r>
    </w:p>
    <w:p>
      <w:r>
        <w:rPr>
          <w:b/>
        </w:rPr>
        <w:t>E. 8.3</w:t>
      </w:r>
    </w:p>
    <w:p>
      <w:r>
        <w:t>Suite au renvoi de la cause à l'OAIE par arrêt du Tribunal administratif fédéral C-5490/2007 du 8 novembre 2010, l'autorité inférieure a complété l'instruction du dossier en procédant à une expertise pluridisciplinaire psychique et ostéo-articulaire de l'assurée auprès du G._______ les 16 juin et 11 août 2011. Le Tribunal de céans constate que le rapport d'expertise du G._______ du 8 décembre 2011 porte sur tous les points nécessitant un complément d'instruction (discussion des conclusions du rapport du COPAI, le cas échéant constatation d'une capacité de travail résiduelle et désignation du genre d'activité concrète encore exigible de la part de la recourante, clarification de l'état de santé psychique de la recourant, des limitations fonctionnelles qui en découlent et son impact sur l'éventuelle capacité de travail dans une activité adaptée) et cite toutes les pièces médicales antérieures pertinentes, en particulier le rapport d'observation du COPAI du 18 novembre 2003, le rapport d'examen bidisciplinaire du SMR du 22 septembre 2004 et l'examen clinique du SMR du 23 mars 2007. Les experts décrivent avec précision l'ensemble de l'anamnèse ainsi que l'histoire médicales actuelle selon l'expertisée. Ils comparent les résultats actuels avec ceux des rapports antérieurs en se fondant sur des examens complets relatifs aux statuts rhumatologique, neurologique et psychique de la recourante, lesquels sont de plus complétés par des examens radiologiques de l'épaule droite, du poignet gauche et des deux coudes. Le contexte médical est clair et les conclusions du rapport sont motivées et cohérentes avec le contexte médical en ce sens que l'examen clinique est superposable à celui effectué au SMR le 23 mars 2007 et qu'il indique avec précision les mêmes limitations fonctionnelles que doit respecter un poste de travail adapté. Une pleine valeur probante peut donc être accordée au rapport d'expertise du G._______ du 8 décembre 2011.</w:t>
      </w:r>
    </w:p>
    <w:p>
      <w:r>
        <w:rPr>
          <w:b/>
        </w:rPr>
        <w:t>E. 8.4</w:t>
      </w:r>
    </w:p>
    <w:p>
      <w:r>
        <w:t>L'arrêt du Tribunal administratif fédéral C-5490/2007 du 8 novembre 2010 reconnaît également une valeur probante au rapport du COPAI du 18 novembre 2003 qui complète utilement les données médicales fournies par les médecins du SMR et dont on ne saurait faire abstraction. Il précise que le COPAI ne fonde pas essentiellement son rapport sur les plaintes subjectives de l'assurée (comp. arrêt du Tribunal fédéral 9C_737/2011 du 16 octobre 2012 consid. 3.3) et que l'assurée a entièrement coopéré lors du stage professionnel (comp. arrêt du Tribunal fédéral 8C_411/2015 du 17 septembre 2015 consid. 5.3). Ainsi, l'argument selon lequel les constatations médicales objectives fondant les conclusions du SMR n'auraient pas permis de mettre en évidence une justification médicale des observations du COPAI n'était pas soutenable (arrêt du Tribunal administratif fédéral C-5490/2007 du 8 novembre 2010 consid. 11.3.2.1).</w:t>
      </w:r>
    </w:p>
    <w:p>
      <w:r>
        <w:rPr>
          <w:b/>
        </w:rPr>
        <w:t>E. 8.5</w:t>
      </w:r>
    </w:p>
    <w:p>
      <w:r>
        <w:t>Le rôle du médecin dans l'assurance invalidité consiste à déterminer l'état de santé et les activités dans lesquels l'assuré est incapable de travailler ainsi que l'étendue de cette incapacité de travail. Les informations médicales sont donc importantes pour déterminer quelles activités peuvent encore être raisonnablement exigées de l'assuré (ATF 125 V 256 consid. 4; ATF 115 V 133 consid. 2). Quant aux organes d'observation professionnelle, leur fonction consiste à compléter les données médicales en examinant concrètement dans quelle mesure un assuré est à même de mettre en valeur une capacité de travail et de gain sur le marché du travail. Lorsque les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Tribunal fédéral I 540/03 du 10 novembre 2004 consid. 4.1). Il est en principe nécessaire de procéder à une expertise médicale complémentaire prenant position sur les contradictions entre les conclusions de l'expertise médicale et celles du COPAI lorsque la capacité de rendement de l'assurée est d'une part effectivement observée dans le cadre d'une observation professionnelle complète et avec une pleine coopération de l'assurée, et d'autre part peut ou non être objectivement réalisable selon l'appréciation des experts du COPAI (arrêt du Tribunal fédéral 8C_411/2015 du 17 septembre 2015 consid. 5.2; arrêt du Tribunal fédéral 9C_737/2011 du 16 octobre 2011 consid. 3.3; arrêt du Tribunal fédéral 9C_833/2007 du 4 juillet 2008 consid. 3.3.2).</w:t>
      </w:r>
    </w:p>
    <w:p>
      <w:r>
        <w:rPr>
          <w:b/>
        </w:rPr>
        <w:t>E. 8.6</w:t>
      </w:r>
    </w:p>
    <w:p>
      <w:r>
        <w:t>Les rapports médicaux et le rapport du COPAI concordent sur les limitations fonctionnelles et l'incapacité totale de travail dans l'activité habituelle de l'assurée. En revanche, ils ne concordent pas sur la question de l'exigibilité d'une activité adaptée aux limitations fonctionnelles. Il convient donc d'examiner si sur la base de la confrontation du rapport du COPAI du 18 novembre 2003 avec les expertises et rapports médicaux, le G._______ a pu déterminer la nature des activités qui restent à la portée de l'assurée et la mesure dans laquelle elle pourrait les accomplir.</w:t>
      </w:r>
    </w:p>
    <w:p>
      <w:r>
        <w:rPr>
          <w:b/>
        </w:rPr>
        <w:t>E. 9.1</w:t>
      </w:r>
    </w:p>
    <w:p>
      <w:r>
        <w:t>En substance, le rapport du G._______ du 8 décembre 2011 conclut qu'il n'y a pas eu d'évolution significative de l'état de santé de la recourante depuis le 23 mars 2007, date à laquelle le SMR confirmait les diagnostics déjà posés et ajoutait un statut après cure de tunnel carpien gauche le 16 mars 2007 avec persistance de troubles sensitifs et syndrome du tunnel carpien droit. Il confirme les limitations fonctionnelles qui n'ont pas changé, à savoir pas de mouvements répétitifs des membres supérieurs, pas d'activité des mains exigeant de la force, pas de port de charges supérieures à 5kg, pas de travail en porte-à-faux, pas de flexion antérieure du tronc, pas de longues stations assises ou debout, pas de maintien des avant-bras sans appui, ni travail en hauteur. Sur le plan psychique, le rapport exclut un trouble dépressif durable et handicapant. Les experts du G._______ indiquent que l'impossibilité d'utiliser le membre supérieur gauche autrement que comme aide et l'impossibilité d'utiliser un clavier relatées dans le rapport du COPAI n'ont pas pu être constatées. Ils précisent en revanche qu'il est difficile d'évaluer l'impact fonctionnel des douleurs chez l'assurée qui déclare être aidée pour toutes les activités de la vie quotidienne astreignantes et passer du temps à l'ordinateur par exemple sur Facebook en maniant la souris avec le membre supérieur droit. Selon les experts du G._______, si toutes les limitations fonctionnelles sont satisfaites, la capacité de travail peut être entière. Ils estiment qu'une activité légère de type contrôle ou surveillance par exemple serait envisageable, pour autant qu'il y ait la possibilité d'alterner la position assise et debout, et qu'elle serait exigible à 100 %. Les experts du G._______ précisent cependant que les limitations fonctionnelles sont assez nombreuses et que si le poste de travail ne respecte pas toutes ces limitations, il faut tenir compte de la fatigue et/ou de la baisse de rendement découlant de gestes inadaptés au handicap. Ils mentionnent encore qu'il n'y a pas, sur le plan psychique, de limitation à l'exercice à plein temps et à plein rendement (AI pce 125).</w:t>
      </w:r>
    </w:p>
    <w:p>
      <w:r>
        <w:rPr>
          <w:b/>
        </w:rPr>
        <w:t>E. 9.2</w:t>
      </w:r>
    </w:p>
    <w:p>
      <w:r>
        <w:t>Au vu de ce qui précède, il n'a pas été possible aux experts du G._______ d'indiquer quelles activités concrètes respectant les limitations fonctionnelles existent sur le marché équilibré du travail et seraient encore exigibles de la part de la recourante et dans quelle mesure. Ils n'indiquent pas non plus dans quels cas une perte de rendement doit être attendue et quelle perte de rendement il faut retenir. Ce n'est d'ailleurs pas le rôle des experts médicaux de déterminer quelle activité concrète entre en ligne de compte mais bien celui de l'expert de réadaptation (voir arrêt du Tribunal fédéral 9C_285/2007 du 30 mai 2008). Or, le COPAI a pratiquement dit qu'il n'en existait pas. Les experts en réadaptation de l'Office AI ainsi que le SMR ne sont pas plus éloquent sur ce point avant la procédure de recours. Dans le cadre de la réponse, le SMR, après discussion avec le service de réadaptation, évoque les activités adaptées suivantes: contrôleuse qualité en maroquinerie (expérience dans le domaine), contrôleuse en polissage (horlogerie et bijouterie), surveillance de parking ou de magasin, vendeuse de textiles ou produits de maroquinerie, tâches administratives simples (téléphone, réception, planification et accueil). A l'inverse de ce que prétend le SMR le rapport du G._______ prend uniquement position sur la capacité de travail résiduelle médico-théorique et non sur l'exigibilité d'une activité concrète. Se référer à l'expertise du G._______ ne permet donc pas de fonder cette liste d'activités adaptées sur une explication plausible.</w:t>
      </w:r>
    </w:p>
    <w:p>
      <w:r>
        <w:rPr>
          <w:b/>
        </w:rPr>
        <w:t>E. 9.3</w:t>
      </w:r>
    </w:p>
    <w:p>
      <w:r>
        <w:t>Il ressort de ce qui précède que l'expertise du G._______ a permis de confirmer l'état de santé de la recourante et exclure une aggravation de celui-ci depuis 2007. Elle n'a cependant pas permis de clarifier le genre d'activité concrète encore exigible de la part de la recourante. Par appréciation anticipée des preuves, le Tribunal de céans estime cependant qu'un éventuel complément d'instruction auprès du COPAI ne permettrait pas de clarifier la lacune existante, la situation de la recourante ne s'étant pas améliorée et ne pouvant s'améliorer à l'avenir. Par ailleurs, plus d'une dizaine d'années s'est écoulée depuis la rédaction du rapport COPAI le 18 novembre 2003. Il est dès lors réaliste de penser que le COPAI ne pourra que confirmer son premier rapport, une analyse rétroactive étant dans ces circonstances très difficile. Le Tribunal constate de plus que la recourante atteindra l'âge de 64 ans en avril prochain donnant droit à une rente de vieillesse encore cette année. Une réadaptation professionnelle paraît par conséquent irréaliste. Il convient donc de se déterminer sur la base des pièces versées au dossier.</w:t>
      </w:r>
    </w:p>
    <w:p>
      <w:r>
        <w:rPr>
          <w:b/>
        </w:rPr>
        <w:t>E. 9.4</w:t>
      </w:r>
    </w:p>
    <w:p>
      <w:r>
        <w:t>Dans ces conditions, le rapport COPAI complète utilement l'appréciation médico-théorique des médecins du SMR et du G._______ relative à la capacité de travail de la recourante dans une activité adaptée en ce sens que le COPAI a examiné concrètement dans quelle mesure la recourante était à même de mettre en valeur dite capacité de travail résiduelle sur le marché du travail. Vu les nombreuses limitations fonctionnelles de la recourante, son manque de formation, son expérience professionnelle peu diversifiée et ses faibles capacités d'adaptation dans un autre domaine, le COPAI est arrivé à la conclusion que la recourante ne dispose pas d'une capacité résiduelle de travail exploitable économiquement et donc exigible. Le Tribunal de céans ne voit pas de motifs de s'écarter de ces conclusions. C'est en effet l'expert en réadaptation qui doit établir s'il y a des activités concrètes qui entrent en ligne de compte (voir arrêt du Tribunal fédéral 9C_13/2007 du 31 mars 2008 consid. 3 et arrêt du Tribunal fédéral 9C_285/2007 du 30 mai 2008).</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11.1</w:t>
      </w:r>
    </w:p>
    <w:p>
      <w:r>
        <w:t>Dans sa comparaison de salaires du 7 juillet 2005 (AI pce 60), l'OAIE a retenu comme salaire sans invalidité un montant de CHF 86'771.- selon les indications de l'entreprise B._______ et après indexation jusqu'en 2003. Pour le salaire d'invalide, l'OAIE a retenu un montant de CHF 46'599.- en se basant sur les chiffres de l'ESS 2002 (activité de niveau 4 pour les femmes avec 41,7 heures de travail hebdomadaires, indexé jusqu'en 2003). Or, étant donné que la recourante ne dispose pas d'une capacité de travail résiduelle exploitable économiquement, le revenu d'invalide est nul, alors que le revenu 2003 sans invalidité est de CHF 86'348.15 (CHF 85'358.- en 2002 plus 1,16% pour l'indexation à 2003). La perte de gain est par conséquent de CHF 86'348.15 ou 100%.</w:t>
      </w:r>
    </w:p>
    <w:p>
      <w:r>
        <w:rPr>
          <w:b/>
        </w:rPr>
        <w:t>E. 11.2</w:t>
      </w:r>
    </w:p>
    <w:p>
      <w:r>
        <w:t>Selon l'art. 28 LAI, l'assuré a droit à un quart de rente s'il est invalide à 40% au moins, à une demi-rente s'il est invalide à 50% au moins, à trois-quarts de rente s'il est invalide à 60% au moins et à une rente entière s'il est invalide à 70% au moins (rente entière s'il est invalide à 66,6% jusqu'à l'entrée en vigueur de la 4e révision de la LAI le 1er janvier 2004). Toutefois, selon l'art. 29 al. 4 LAI, les rentes correspondant à un taux d'invalidité inférieur à 50% ne sont versées qu'aux assurés qui ont leur domicile et leur résidence habituelle (art. 13 LPGA) en Suisse. Suite à l'entrée en vigueur le 1er juin 2002 de l'ALCP (cf. supra 3.2), la restriction prévue à l'art. 29 al. 4 LAI n'est plus applicable lorsqu'un assuré est un ressortissant suisse ou de l'UE et y réside (ATF 130 V 253 consid. 2.3). En l'espèce, le degré d'invalidité est de 100%, et la recourante a par conséquent droit à une rente entière à partir du 1er janvier 2003.</w:t>
      </w:r>
    </w:p>
    <w:p>
      <w:r>
        <w:rPr>
          <w:b/>
        </w:rPr>
        <w:t>E. 12</w:t>
      </w:r>
    </w:p>
    <w:p>
      <w:r>
        <w:t>Au vu de ce qui précède, il convient d'admettre le recours de la recourante et de réformer la décision attaquée en ce sens que l'assurée a droit à une rente entière dès le 1er janvier 2003.</w:t>
      </w:r>
    </w:p>
    <w:p>
      <w:r>
        <w:rPr>
          <w:b/>
        </w:rPr>
        <w:t>E. 13.1</w:t>
      </w:r>
    </w:p>
    <w:p>
      <w:r>
        <w:t>Compte tenu de l'issue de la cause, il n'est pas perçu de frais de procédure (art. 63 PA) et le montant de CHF 400.- versé par la recourante à titre d'avance de frais lui est restitué.</w:t>
      </w:r>
    </w:p>
    <w:p>
      <w:r>
        <w:rPr>
          <w:b/>
        </w:rPr>
        <w:t>E. 13.2</w:t>
      </w:r>
    </w:p>
    <w:p>
      <w:r>
        <w:t>La recourante ayant agi en étant représentée, elle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CHF 2'800.- (sans TVA [arrêts du Tribunal administratif fédéral C-7527/2014 du 12 août 2015 consid. 10.2 et C-4930/2014 du 12 février 2015 consid. 12.2 et références citées]).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