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C-2542/2015 vom 7. September 2015</w:t>
      </w:r>
    </w:p>
    <w:p>
      <w:r>
        <w:t>Bundesverwaltungsgericht, 2015-09-07, DE</w:t>
      </w:r>
    </w:p>
    <w:p>
      <w:r>
        <w:rPr>
          <w:b/>
        </w:rPr>
        <w:t xml:space="preserve">Quelle: </w:t>
      </w:r>
      <w:r>
        <w:t>https://mcp.opencaselaw.ch/entscheid/bvger_C-2542_2015</w:t>
      </w:r>
    </w:p>
    <w:p>
      <w:r>
        <w:t>FR: TAF C-2542/2015 du 7 septembre 2015</w:t>
      </w:r>
    </w:p>
    <w:p>
      <w:r>
        <w:t>IT: TAF C-2542/2015 del 7 settembre 2015</w:t>
      </w:r>
    </w:p>
    <w:p>
      <w:pPr>
        <w:pStyle w:val="Heading2"/>
      </w:pPr>
      <w:r>
        <w:t>Regeste</w:t>
      </w:r>
    </w:p>
    <w:p>
      <w:r>
        <w:t>Krankenversicherung (Übriges)</w:t>
      </w:r>
    </w:p>
    <w:p>
      <w:pPr>
        <w:pStyle w:val="Heading2"/>
      </w:pPr>
      <w:r>
        <w:t>Erwägungen</w:t>
      </w:r>
    </w:p>
    <w:p>
      <w:r>
        <w:rPr>
          <w:b/>
        </w:rPr>
        <w:t>E. 1.1</w:t>
      </w:r>
    </w:p>
    <w:p>
      <w:r>
        <w:t>Anfechtungsgegenstand ist vorliegend die "Weisung" des BAG vom 23. März 2015. Aufgrund der Beschwerden streitig und im Folgenden vom Bundesverwaltungsgericht zunächst zu prüfen ist, ob es bei der Weisung um eine mittels Beschwerde anfechtbare Verfügung handelt. Gegebenenfalls ist weiter zu prüfen, ob das BAG befugt war, die Beschwerdeführerinnen anzuweisen, a) Art. 13 Abs. 2 KVG, Art. 60 Abs. 2 KVG und Art. 106a Abs. 3 KVG im Sinne der in der Weisung enthaltenen Erläuterungen einzuhalten und b) die Zuschüsse bis zum 30. April 2015 rückgängig zu machen.</w:t>
      </w:r>
    </w:p>
    <w:p>
      <w:r>
        <w:rPr>
          <w:b/>
        </w:rPr>
        <w:t>E. 1.2</w:t>
      </w:r>
    </w:p>
    <w:p>
      <w:r>
        <w:t>Das Verfahren vor dem Bundesverwaltungsgericht richtet sich gemäss Art. 37 VGG nach dem VwVG, soweit das VGG nichts anderes bestimmt.</w:t>
      </w:r>
    </w:p>
    <w:p>
      <w:r>
        <w:rPr>
          <w:b/>
        </w:rPr>
        <w:t>E. 1.3</w:t>
      </w:r>
    </w:p>
    <w:p>
      <w:r>
        <w:t>Vorliegend rechtfertigt es sich, die drei Beschwerdeverfahren C-2542/2015, C-2557/2015 und C-2552/2015 zu vereinigen, da sich gleiche Rechtsfragen stellen, ein enger sachlicher Zusammenhang besteht und die Beschwerdeführerinnen derselben Holdinggesellschaft angehören.</w:t>
      </w:r>
    </w:p>
    <w:p>
      <w:r>
        <w:rPr>
          <w:b/>
        </w:rPr>
        <w:t>E. 1.4</w:t>
      </w:r>
    </w:p>
    <w:p>
      <w:r>
        <w:t>Mit der Beschwerde an das Bundesverwaltungsgericht kann gerügt werden, eine angefochtene Verfügung verletze Bundesrecht (einschliesslich Überschreitung oder Missbrauch des Ermessens), beruhe auf einer unrichtigen oder unvollständigen Feststellung des rechtserheblichen Sachverhalts oder sei unangemessen (Art. 49 Bst. c VwVG).</w:t>
      </w:r>
    </w:p>
    <w:p>
      <w:r>
        <w:rPr>
          <w:b/>
        </w:rPr>
        <w:t>E. 1.5</w:t>
      </w:r>
    </w:p>
    <w:p>
      <w:r>
        <w:t>Nach Art. 62 Abs. 4 VwVG sind Gerichte gemäss dem Grundsatz der Rechtsanwendung von Amtes wegen nicht an die Begründung der Begehren der Parteien gebunden.</w:t>
      </w:r>
    </w:p>
    <w:p>
      <w:r>
        <w:rPr>
          <w:b/>
        </w:rPr>
        <w:t>E. 2</w:t>
      </w:r>
    </w:p>
    <w:p>
      <w:r>
        <w:t>Das Bundesverwaltungsgericht prüft von Amtes wegen, ob die Eintretensvoraussetzungen gegeben sind. Dazu gehört die Bestimmung des Streitgegenstandes, insbesondere die Frage, inwiefern eine gemäss Art. 44 VwVG anfechtbare Verfügung im Sinne von Art. 5 VwVG vorliegt (vgl. Urteil des BVGer C 1517/2012 vom 22. Dezember 2014 E. 3.).</w:t>
      </w:r>
    </w:p>
    <w:p>
      <w:r>
        <w:rPr>
          <w:b/>
        </w:rPr>
        <w:t>E. 2.1</w:t>
      </w:r>
    </w:p>
    <w:p>
      <w:r>
        <w:t>Zunächst ist ein Einblick in die einschlägigen, materiell-rechtlichen Normen zu geben.</w:t>
      </w:r>
    </w:p>
    <w:p>
      <w:r>
        <w:rPr>
          <w:b/>
        </w:rPr>
        <w:t>E. 2.1.1</w:t>
      </w:r>
    </w:p>
    <w:p>
      <w:r>
        <w:t>Gemäss Art. 61 Abs. 1 KVG legt der Versicherer die Prämien fest. Laut Art. 92 Abs. 1 KVV haben die Versicherer die OKP-Prämientarife sowie deren Änderungen dem BAG spätestens fünf Monate, bevor sie zur Anwendung gelangen, zur Genehmigung einzureichen. Diese Tarife dürfen erst angewandt werden, nachdem sie vom BAG genehmigt worden sind (vgl. auch Art. 61 Abs. 5 KVG). Den Prämientarifen beizulegen sind auf einem vom BAG abgegebenen Formular: a) das Budget (Bilanz und Betriebsrechnung) des laufenden Geschäftsjahres; b) das Budget (Bilanz und Betriebsrechnung) des folgenden Geschäftsjahres (Art. 92 KVV Abs. 2). Werden die Prämien kantonal oder regional abgestuft, so kann das BAG vom Versicherer periodisch eine Aufstellung über die durchschnittlichen Kosten der letzten Geschäftsjahre in den entsprechenden Kantonen oder Regionen einverlangen (Art. 92 KVV Abs. 3). Mit der Genehmigung der Prämientarife oder im Anschluss daran kann das BAG dem Versicherer Weisungen für die Festsetzung der Prämien der folgenden Geschäftsjahre erteilen (Art. 92 KVV Abs. 5; vgl. zum Ganzen BVGE 2009/65 E. 4.2; BGE 135 V 39 E. 4.2).</w:t>
      </w:r>
    </w:p>
    <w:p>
      <w:r>
        <w:rPr>
          <w:b/>
        </w:rPr>
        <w:t>E. 2.1.2</w:t>
      </w:r>
    </w:p>
    <w:p>
      <w:r>
        <w:t>Zur Prämienkorrektur für die Jahre 1996 bis 2013 leisten die OKP Versicherer Ende 2016 einen einmaligen Betrag von 33 Franken pro versicherte Person (vgl. Art. 106a Abs. 2 KVG, Art. 1 der Prämienkorrekturverordnung, SR 832.107.21). Die Versicherer finanzieren ihre Beiträge über einen Einmalzuschlag auf den Prämien. Sie können ihre Beiträge auch aus den Reserven finanzieren, falls diese übermässig sind (vgl. Art. 106a Abs. 3 KVG). Das BAG genehmigt die Einmalzuschläge auf den Prämien gleichzeitig mit den Prämien (vgl. Art. 5 Abs. 2 der Prämienkorrekturverordnung).</w:t>
      </w:r>
    </w:p>
    <w:p>
      <w:r>
        <w:rPr>
          <w:b/>
        </w:rPr>
        <w:t>E. 2.2</w:t>
      </w:r>
    </w:p>
    <w:p>
      <w:r>
        <w:t>Die Prämiengenehmigung ist eine Verfügung, mit welcher das BAG dem Versicherer auf dessen Gesuch hin die Erlaubnis erteilt oder verweigert, von den Versicherten im Folgejahr die vom Versicherer vorgeschlagene Prämie zu verlangen (vgl. BVGE 2009/65 E 2.4). Die Genehmigung eines beantragten Prämientarifs bzw. deren Verweigerung stellt eine anfechtbare Verfügung nach Art. 5 Abs. 1 VwVG dar. Bei deren Erlass sind die Vorschriften des VwVG zu beachten. Gegen diese Verfügung ist die Beschwerde an das Bundesverwaltungsgericht grundsätzlich zulässig (vgl. BVGE 2009/65 E. 1.1 f., 2.4; Urteile des BVGer C 5735/2011 vom 23. Oktober 2013 E. 2.1 und C 5521/2011 vom 11. November 2013 E. 2.1). Auch Anordnungen einer Aufsichtsbehörde gegenüber Versicherern in deren Eigenschaft als Durchführungsorgan der OKP gelten als Verfügungen. Soweit diese Anordnungen die Autonomie der OKP Versicherer nicht tangieren, kann dagegen allerdings nicht Beschwerde an das Bundesverwaltungsgericht geführt werden (vgl. RKUV 4/1997 KV 7 S. 216 ff. E. II.2c; RKUV 6/1997 KV 18 S. 399 ff. E. II.5.2; vgl. auch die Urteile C 5735/2011 und C 5521/2011, je E. 2.1). Analog stellt auch der - gleichzeitig mit dem Prämiengenehmigungsentscheid zu fällende - Entscheid des BAG über die Genehmigung der Einmalzuschläge im Sinne von Art. 106a KVG eine Verfügung nach Art. 5 Abs. 1 VwVG dar; bei deren Erlass und dem dazu führenden Verwaltungsverfahren sind die Vorschriften des VwVG zu beachten. Auch gegen diesen Entscheid ist die Beschwerde an das Bundesverwaltungsgericht grundsätzlich zulässig (vgl. Art. 33 Bst. d VGG i.V.m. Art. 106a Abs. 4 KVG und Art. 5 der Prämienkorrekturverordnung). Da das Bundesverwaltungsgericht in der Hauptsache (der Endentscheide betreffend Genehmigung der OKP Prämien 2016 bzw. der Einmalzulagen) zuständig ist, ist es funktional auch für die Beurteilung allfälliger Zwischenverfügungen zuständig (vgl. Urteil C 5735/2011 E. 2.3).</w:t>
      </w:r>
    </w:p>
    <w:p>
      <w:r>
        <w:rPr>
          <w:b/>
        </w:rPr>
        <w:t>E. 2.3</w:t>
      </w:r>
    </w:p>
    <w:p>
      <w:r>
        <w:t>Wie aus dem dargelegten Sachverhalt und den Akten hervorgeht, hat das BAG mit der angefochtenen "Weisung" in Bezug auf die Beschwerdeführerinnen keinen Endentscheid betreffend Genehmigung der OKP Prämien 2016 im Sinne von Art. 106a KVG gefällt. Vielmehr stellt die angefochtene "Weisung" lediglich einen Schritt auf dem Weg zu diesen Endentscheiden dar. Das BAG bezweckt damit, dass ihm Gesuche unterbreitet werden, die es ohne Weiterungen abschliessend mit entsprechenden Endentscheiden genehmigen kann. Auch die Argumentation der Beschwerdeführerinnen erfolgte hauptsächlich im Hinblick auf die Prämienfestsetzung 2016. Im Zentrum der Ausführungen der Parteien bzw. ihrer Absichten steht die Frage, inwiefern die vorgenommenen Zuschüsse bei der Berechnung der Prämien 2016 zu berücksichtigen sind. Darüber - und die damit direkt verbundene Frage der Zulässigkeit der umstrittenen Zuschüsse - wird das BAG im entsprechenden Endentscheid zu befinden haben. Somit handelt es sich bei der angefochtenen "Weisung" um eine Zwischenverfügung im Hinblick auf den entsprechenden Endentscheid. Zum gleichen Resultat sind das Bundesverwaltungsgericht und das jeweils zustimmende Bundesgericht in vergleichbaren Konstellationen gekommen (vgl. Urteil C 5735/2011 E. 2.3 und Urteil des BGer 9C_878/2013 vom 14. Oktober 2014 [publiziert als KV Nr. 9 in SVR 2015] E. 1.1; Urteil C 5521/2011 E. 2.3 und Urteil des BGer 9C_8/2014, 9C_9/2014 vom 14. Oktober 2014 E. 2.1; vgl. auch Urteil des BVGer C 6092/2013 vom 22. Januar 2014 E. 2.2). Da eine Zwischenverfügung auch vor der eigentlichen Eröffnung des Hauptverfahrens erlassen werden kann (vgl. Urteil C 6092/2013 E. 2.2), kann vorliegend offen bleiben, ob die entsprechenden Genehmigungsverfahren bereits vor dem Einreichen der entsprechenden Eingaben bzw. Gesuche der Beschwerdeführerinnen eröffnet wurden. Da die gesamte "Weisung" in Hinblick auf die Endentscheide ausgerichtet wurde, kann vorliegend offen bleiben, was genau Inhalt der Anordnung gemäss Ziffer 1 der angefochtenen "Weisung" ist.</w:t>
      </w:r>
    </w:p>
    <w:p>
      <w:r>
        <w:rPr>
          <w:b/>
        </w:rPr>
        <w:t>E. 3</w:t>
      </w:r>
    </w:p>
    <w:p>
      <w:r>
        <w:t>Nach Art. 45 Abs. 1 VwVG kann gegen selbständig eröffnete Zwischenverfügungen über die Zuständigkeit und über Ausstandsbegehren Beschwerde geführt werden. Andere selbständig eröffnete Zwischenverfügungen sind gemäss Art. 46 Abs. 1 VwVG nur anfechtbar, wenn sie einen nicht wieder gutzumachenden Nachteil bewirken können (Bst. a) oder wenn die Gutheissung der Beschwerde sofort einen Endentscheid herbeiführen und damit einen bedeutenden Aufwand an Zeit oder Kosten für ein weitläufiges Beweisverfahren ersparen würde (Bst. b). Andernfalls können Zwischenverfügungen erst mit Beschwerde gegen die Endverfügung angefochten werden (vgl. Art. 46 Abs. 2 VwVG). Die beschränkte Anfechtbarkeit von Zwischenverfügungen soll verhindern, dass die Beschwerdeinstanz Zwischenentscheide überprüfen muss, die durch einen günstigen Endentscheid für die betroffene Person jeden Nachteil verlieren. Die Rechtsmittelinstanz soll sich in der Regel nur einmal mit einer Streitsache befassen und sich überdies nicht bereits in einem frühen Verfahrensstadium ohne genügend umfassende Sachverhaltskenntnis teilweise materiell festlegen müssen (Urteil BVGer A-3997/2011 vom 13. September 2011 E. 2.1 mit Hinweisen, vgl. auch BGE 135 II 30 E. 1.3.2). Von einem nicht wieder gutzumachenden Nachteil im Sinne von Art. 46 Abs. 1 Bst. a VwVG wäre dann auszugehen, wenn dieser auch durch einen für die Beschwerdeführerin günstigen Entscheid in der Zukunft nicht mehr behoben werden könnte (vgl. BGE 134 I 83 E. 3.1), wobei dieser Nachteil im Anwendungsbereich des Art. 46 VwVG nicht rechtlicher Natur sein muss - vielmehr reicht auch ein bloss wirtschaftliches Interesse, sofern es der Beschwerdeführerin bei der Anfechtung einer Zwischenverfügung nicht lediglich darum geht, eine Verlängerung oder Verteuerung des Verfahrens zu verhindern (BGE 116 Ib 344 E. 1c S. 347 f.; 120 Ib 97 E. 1c S. 100; vgl. Uhlmann/Wälle-Bär, Praxiskommentar VwVG, Art. 46 N 6). Weiter ist es nicht erforderlich, dass der Entscheid tatsächlich einen solchen Nachteil zur Folge hat, sondern es genügt, dass dieser droht bzw. nicht von vornherein ausgeschlossen werden kann (Kayser, in: Auer/Müller/Schindler (Hrsg.), Kommentar zum Bundesgesetz über das Verwaltungsverfahren (VwVG), Zürich 2008, Rz. 10 zu Art. 46).</w:t>
      </w:r>
    </w:p>
    <w:p>
      <w:r>
        <w:rPr>
          <w:b/>
        </w:rPr>
        <w:t>E. 3.1</w:t>
      </w:r>
    </w:p>
    <w:p>
      <w:r>
        <w:t>Vorliegend hat die Vorinstanz keinen Entscheid über die Zuständigkeit oder über Ausstandsbegehren gefällt, weshalb eine Anwendung von Art. 45 Abs. 1 VwVG ausser Betracht fällt.</w:t>
      </w:r>
    </w:p>
    <w:p>
      <w:r>
        <w:rPr>
          <w:b/>
        </w:rPr>
        <w:t>E. 3.2</w:t>
      </w:r>
    </w:p>
    <w:p>
      <w:r>
        <w:t>Da für den Endentscheid betreffend Genehmigung der OKP Prämien 2016 verschiedene andere Faktoren zu berücksichtigen sind, würde die Gutheissung der gegen die angefochtene Weisung geführten Beschwerden nicht sofort einen Endentscheid in den besagten Genehmigungsverfahren herbeiführen (vgl. namentlich Art. 61 ff. KVG und Art. 89 ff. KVV sowie Art. 106 ff. KVG und die Prämienkorrekturverordnung). Ein Abstützen der Zulässigkeit der vorliegenden Beschwerden auf Art. 46 Abs. 1 Bst. b VwVG fällt somit ausser Betracht.</w:t>
      </w:r>
    </w:p>
    <w:p>
      <w:r>
        <w:rPr>
          <w:b/>
        </w:rPr>
        <w:t>E. 3.3</w:t>
      </w:r>
    </w:p>
    <w:p>
      <w:r>
        <w:t>Entgegen den Beschwerdeführerinnen sind die Eintretensvoraussetzungen nicht offensichtlich gegeben (vgl. Beschwerde Randziffer 5), vielmehr stellt sich die Frage, worin ein nicht wieder gutzumachender Nachteil besteht. Die Beschwerdeführerinnen bringen vor, sie seien belastet, da die aufsichtsrechtliche Anweisung zur Wiederherstellung des nach Ansicht der Vorinstanz gesetzmässigen Zustandes erhebliche Auswirkungen auf die Finanzierung der Beschwerdeführerinnen und deren Prämientariffestsetzung habe. Die Beschwerdeführerinnen machen somit einen wirtschaftlichen Nachteil geltend, ohne diesen allerdings näher zu substantiieren. Ein nicht wieder gutzumachender Nachteil ist vorliegend nicht ersichtlich, zumal erst im Rahmen der Beurteilung der Prämiengenehmigung 2016 abschliessend über die Rechtmässigkeit der vorliegend umstrittenen Zuschüsse bzw. deren Auswirkungen auf das besagte Genehmigungsverfahren befunden werden wird, gegebenenfalls auch in einem daran anschliessenden neuen Beschwerdeverfahren vor Bundesverwaltungsgericht. Ein Abstützen der Zulässigkeit der vorliegenden Beschwerden auf Art. 46 Abs. 1 Bst. a VwVG fällt somit ebenfalls ausser Betracht.</w:t>
      </w:r>
    </w:p>
    <w:p>
      <w:r>
        <w:rPr>
          <w:b/>
        </w:rPr>
        <w:t>E. 3.4</w:t>
      </w:r>
    </w:p>
    <w:p>
      <w:r>
        <w:t>Im Übrigen können die Beschwerdeführerinnen aus dem Urteil C 627/2007 nichts zu ihren Gunsten ableiten, da es mit Urteil des BGer 9C_599/2007 vom 18. Dezember 2007 aufgehoben wurde.</w:t>
      </w:r>
    </w:p>
    <w:p>
      <w:r>
        <w:rPr>
          <w:b/>
        </w:rPr>
        <w:t>E. 3.5</w:t>
      </w:r>
    </w:p>
    <w:p>
      <w:r>
        <w:t>Zusammenfassend ist festzuhalten, dass die vorliegenden Beschwerden unzulässig sind, weshalb darauf im einzelrichterlichen Verfahren nicht einzutreten ist (vgl. Art. 23 Abs. 1 Bst. b VGG). Damit entfällt eine materielle Beurteilung der angefochtenen Zwischenverfügungen. Auf die entsprechenden Ausführungen der Parteien ist nicht weiter einzugehen.</w:t>
      </w:r>
    </w:p>
    <w:p>
      <w:r>
        <w:rPr>
          <w:b/>
        </w:rPr>
        <w:t>E. 4</w:t>
      </w:r>
    </w:p>
    <w:p>
      <w:r>
        <w:t>Der von der Vorinstanz gestellte Antrag auf Anordnung vorsorglicher Massnahmen wird mit dem vorliegenden Urteil gegenstandslos und ist abzuschreiben.</w:t>
      </w:r>
    </w:p>
    <w:p>
      <w:r>
        <w:rPr>
          <w:b/>
        </w:rPr>
        <w:t>E. 5</w:t>
      </w:r>
    </w:p>
    <w:p>
      <w:r>
        <w:t>Zu befinden bleibt über die Verfahrenskosten und eine allfällige Parteientschädigung.</w:t>
      </w:r>
    </w:p>
    <w:p>
      <w:r>
        <w:rPr>
          <w:b/>
        </w:rPr>
        <w:t>E. 5.1</w:t>
      </w:r>
    </w:p>
    <w:p>
      <w:r>
        <w:t>Gemäss Art. 63 Abs. 1 VwVG ist das Beschwerdeverfahren vor dem Bundesverwaltungsgericht kostenpflichtig und werden die Verfahrenskosten in der Regel der unterliegenden Partei auferlegt. Die Gerichtsgebühr bemisst sich nach Umfang und Schwierigkeit der Streitsache, Art der Prozessführung und finanzieller Lage der Parteien (Art. 63 Abs. 4bis VwVG, Art. 2 Abs. 1 des Reglements vom 21. Februar 2008 über die Kosten und Entschädigungen vor dem Bundesverwaltungsgericht [VGKE, SR 173.320.2]). Die Verfahrenskosten sind in Berücksichtigung dieser Kriterien und des Verfahrensausgangs auf je Fr. 1'500.-, das heisst insgesamt Fr. 4'500.-, festzulegen und mit den bereits geleisteten Verfahrenskostenvorschüssen von je Fr. 4'000.- (insgesamt Fr. 12'000.-) zu verrechnen; die Restanzen von je Fr. 2'500.- (insgesamt Fr. 7'500.-) sind den Beschwerdeführerinnen nach Eintritt der Rechtskraft des vorliegenden Nichteintretensentscheids zurückzuerstatten.</w:t>
      </w:r>
    </w:p>
    <w:p>
      <w:r>
        <w:rPr>
          <w:b/>
        </w:rPr>
        <w:t>E. 5.2</w:t>
      </w:r>
    </w:p>
    <w:p>
      <w:r>
        <w:t>Den Beschwerdeführerinnen ist aufgrund des Verfahrensausgangs keine Parteientschädigung zuzusprechen (Art. 64 Abs. 1 VwVG i. V. m. Art. 7 Abs. 1 VGKE, je e contrario). Die Vorinstanz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