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C-2538/2023 vom 20. April 2023</w:t>
      </w:r>
    </w:p>
    <w:p>
      <w:r>
        <w:t>Bundesverwaltungsgericht, 2023-04-20, DE</w:t>
      </w:r>
    </w:p>
    <w:p>
      <w:r>
        <w:rPr>
          <w:b/>
        </w:rPr>
        <w:t xml:space="preserve">Quelle: </w:t>
      </w:r>
      <w:r>
        <w:t>https://mcp.opencaselaw.ch/entscheid/bvger_C-2538_2023_d20230420</w:t>
      </w:r>
    </w:p>
    <w:p>
      <w:r>
        <w:t>FR: TAF C-2538/2023 du 20 avril 2023</w:t>
      </w:r>
    </w:p>
    <w:p>
      <w:r>
        <w:t>IT: TAF C-2538/2023 del 20 aprile 2023</w:t>
      </w:r>
    </w:p>
    <w:p>
      <w:pPr>
        <w:pStyle w:val="Heading2"/>
      </w:pPr>
      <w:r>
        <w:t>Regeste</w:t>
      </w:r>
    </w:p>
    <w:p>
      <w:r>
        <w:t>Rentenanspruch | Invalidenversicherung, Anspruch auf eine Invalidenrente, Verfügung der IVSTA vom 20. April 2023</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die Beschwerdeführerin, die Vorinstanz und das Bundesamt für Sozialversicherungen.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