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C-2536/2020 vom 25. August 2021</w:t>
      </w:r>
    </w:p>
    <w:p>
      <w:r>
        <w:t>Bundesverwaltungsgericht, 2021-08-25, DE</w:t>
      </w:r>
    </w:p>
    <w:p>
      <w:r>
        <w:rPr>
          <w:b/>
        </w:rPr>
        <w:t xml:space="preserve">Quelle: </w:t>
      </w:r>
      <w:r>
        <w:t>https://mcp.opencaselaw.ch/entscheid/bvger_C-2536_2020</w:t>
      </w:r>
    </w:p>
    <w:p>
      <w:r>
        <w:t>FR: TAF C-2536/2020 du 25 août 2021</w:t>
      </w:r>
    </w:p>
    <w:p>
      <w:r>
        <w:t>IT: TAF C-2536/2020 del 25 agosto 2021</w:t>
      </w:r>
    </w:p>
    <w:p>
      <w:pPr>
        <w:pStyle w:val="Heading2"/>
      </w:pPr>
      <w:r>
        <w:t>Regeste</w:t>
      </w:r>
    </w:p>
    <w:p>
      <w:r>
        <w:t>Rückforderung von Versicherungsleistungen und Erlass</w:t>
      </w:r>
    </w:p>
    <w:p>
      <w:pPr>
        <w:pStyle w:val="Heading2"/>
      </w:pPr>
      <w:r>
        <w:t>Erwägungen</w:t>
      </w:r>
    </w:p>
    <w:p>
      <w:r>
        <w:rPr>
          <w:b/>
        </w:rPr>
        <w:t>E. 1.1</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1.3.1</w:t>
      </w:r>
    </w:p>
    <w:p>
      <w:r>
        <w:t>Anfechtungsobjekt ist vorliegend eine Verfügung der SAK, mit welcher diese die Rückforderung von zu Unrecht bezogenen Leistungen verfügt hat.</w:t>
      </w:r>
    </w:p>
    <w:p>
      <w:r>
        <w:rPr>
          <w:b/>
        </w:rPr>
        <w:t>E. 1.3.2</w:t>
      </w:r>
    </w:p>
    <w:p>
      <w:r>
        <w:t>Die Beschwerdeführerin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André Moser/Michael Beusch/Lorenz Kneubühler, Prozessieren vor dem Bundesverwaltungsgericht, Basel 2013, S. 29 f. Rz. 2.7 f. und BGE 125 V 413 E. 2a).</w:t>
      </w:r>
    </w:p>
    <w:p>
      <w:r>
        <w:rPr>
          <w:b/>
        </w:rPr>
        <w:t>E. 1.3.3</w:t>
      </w:r>
    </w:p>
    <w:p>
      <w:r>
        <w:t>Soweit die Beschwerdeführerin vorliegend beantragt, es sei (erneut) zu prüfen, ob die Waisenrente zu Recht per 30. November 2016 eingestellt worden ist, gehen die Anträge über das in der Verfügung geregelte Rechtsverhältnis (Höhe der Rückforderung) hinaus, weshalb darauf nicht einzutreten ist. Ausserdem beziehen sich diese Anträge auf eine bereits rechtskräftig entschiedene Frage, sodass die Vorinstanz diese Frage zu Recht nicht mehr beurteilt hat und somit auch vorliegend nicht darüber zu befinden ist.</w:t>
      </w:r>
    </w:p>
    <w:p>
      <w:r>
        <w:rPr>
          <w:b/>
        </w:rPr>
        <w:t>E. 1.4</w:t>
      </w:r>
    </w:p>
    <w:p>
      <w:r>
        <w:t>Die Beschwerdeführerin ist durch den angefochtenen Einspracheentscheid berührt und hat ein schutzwürdiges Interesse an dessen Aufhebung oder Änderung, so dass sie im Sinne von Art. 59 ATSG beschwerdelegitimiert ist.</w:t>
      </w:r>
    </w:p>
    <w:p>
      <w:r>
        <w:rPr>
          <w:b/>
        </w:rPr>
        <w:t>E. 1.5</w:t>
      </w:r>
    </w:p>
    <w:p>
      <w:r>
        <w:t>Da die Beschwerde im Übrigen frist- und formgerecht (Art. 60 Abs. 1 ATSG und Art. 52 Abs. 1 VwVG) eingereicht wurde, ist auf die Beschwerde grundsätzlich einzutreten (vgl. aber E. 1.3 hiervor).</w:t>
      </w:r>
    </w:p>
    <w:p>
      <w:r>
        <w:rPr>
          <w:b/>
        </w:rPr>
        <w:t>E. 2.1</w:t>
      </w:r>
    </w:p>
    <w:p>
      <w:r>
        <w:t>Die Beschwerdeführerin ist Staatsangehörige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[BGer] H 13/05 vom 4. April 2005 E. 1.1). Daraus folgt, dass die Verwaltung und im Beschwerdefall das Gericht den Leistungsanspruch des Beschwerdeführers gemäss Art. 3 Abs. 1 der Koordinierungsverordnung (EWG) Nr. 1408/71 (SR 0.831.109.268.1) grundsätzlich nach den für schweizerische Staatsangehörige geltenden Regeln zu beurteilen haben.</w:t>
      </w:r>
    </w:p>
    <w:p>
      <w:r>
        <w:rPr>
          <w:b/>
        </w:rPr>
        <w:t>E. 2.2</w:t>
      </w:r>
    </w:p>
    <w:p>
      <w:r>
        <w:t>In zeitlicher Hinsicht sind grundsätzlich diejenigen materiellen Rechtssätze massgebend, die bei der Erfüllung des zu Rechtsfolgen führenden Tatbestandes Geltung hatten (BGE 130 V 329 E. 2.3). Die Frage, ob die Rückforderungsverfügung korrekt erlassen wurde, beurteilt sich nach den im Zeitpunkt der Rückforderungsverfügung geltenden Bestimmungen.</w:t>
      </w:r>
    </w:p>
    <w:p>
      <w:r>
        <w:rPr>
          <w:b/>
        </w:rPr>
        <w:t>E. 2.3</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3.1</w:t>
      </w:r>
    </w:p>
    <w:p>
      <w:r>
        <w:t>Unrechtmässig bezogene Leistungen sind zurückzuerstatten. Wer Leistungen in gutem Glauben empfangen hat, muss sie nicht zurückerstatten, wenn eine grosse Härte vorliegt (Art. 25 Abs. 1 ATSG). Der Rückforderungsanspruch erlischt mit dem Ablauf eines Jahres, nachdem die Versicherungseinrichtung davon Kenntnis erhalten hat, spätestens aber mit dem Ablauf von fünf Jahren nach der Entrichtung der einzelnen Leistung (Art. 25 Abs. 2 ATSG). Geht die unrechtmässige Leistungsausrichtung auf einen Fehler des Versicherungsträgers zurück (z.B. Fehler bei der Rentenberechnung), beginnt die einjährige Frist nicht mit der Leistungsausrichtung zu laufen; massgebend ist vielmehr, der (spätere) Zeitpunkt, in welchem der Versicherungsträger anlässlich einer Kontrolle zumutbarerweise den Fehler hätte entdecken können (BGE 124 V 380 E. 1). Die absolute Frist von fünf Jahren setzt mit dem tatsächlichen Bezug der einzelnen Leistung ein, und nicht etwa mit dem Datum, an welchem sie hätte erbracht werden sollen (vgl. Ueli Kieser, ATSG-Kommentar, 2. Aufl., Zürich 2009, Rz. 41 zu Art. 25 mit Hinweisen).</w:t>
      </w:r>
    </w:p>
    <w:p>
      <w:r>
        <w:rPr>
          <w:b/>
        </w:rPr>
        <w:t>E. 3.2.1</w:t>
      </w:r>
    </w:p>
    <w:p>
      <w:r>
        <w:t>Die Vorinstanz hat vorliegend mit Verfügung vom 12. März 2020 respektive dem angefochtenen Einspracheentscheid vom 16. April 2020 die seit 1. Dezember 2016 zu Unrecht ausbezahlten Rentenbetreffnisse zurückgefordert. Die absolute Frist von fünf Jahren ist somit für alle zurückgeforderten Zahlungen zweifellos eingehalten.</w:t>
      </w:r>
    </w:p>
    <w:p>
      <w:r>
        <w:rPr>
          <w:b/>
        </w:rPr>
        <w:t>E. 3.2.2</w:t>
      </w:r>
    </w:p>
    <w:p>
      <w:r>
        <w:t>Zu prüfen bleibt, ob auch die relative einjährige Frist eingehalten wurde. Diesbezüglich ist festzuhalten, dass die Vorinstanz von der Beschwerdeführerin einen ausgefüllten Zusatzfragebogen vom 8. Juli 2016 zur Prüfung des Anspruchs auf eine Leistung für Kinder zwischen dem 18. und 25. Altersjahr in Ausbildung erhielt, in welchem jene angab, während wöchentlich vier bis sechs Stunden einer bezahlten Arbeit nachzugehen (SAK-act. 47). Am 19. Oktober 2016 teilte die SAK der Beschwerdeführerin mit, dass eine aktuelle Studienbescheinigung betreffend das Wintersemester 2016/2017 fehle (SAK-act. 51). Am selben Tag sandte die Beschwerdeführerin der Vorinstanz per E-Mail einen Schulvertrag zu (SAK-act. 53). Am 6. Januar 2017 forderte die Vorinstanz die Beschwerdeführerin auf, die beigelegte Lebensbescheinigung durch die Gemeinde beglaubigen zu lassen und zurückzuschicken (vgl. SAK-act. 56). Dieser Aufforderung kam die Beschwerdeführerin nach. Per E-Mail vom 27. Februar 2017 teilte die Beschwerdeführerin der SAK mit, sie habe im Februar 2017 eine Teilzeitbeschäftigung aufgenommen (SAK-act. 57). Darauf forderte die SAK die Beschwerdeführerin auf, ihr den monatlichen Bruttolohn zu melden, damit geprüft werden könne, ob auch mit diesem Einkommen weiterhin ein Anspruch auf eine Waisenrente bestehe (SAK-act. 58 f.). Am 8. Mai 2017 ging bei der SAK ein Schreiben der Beschwerdeführerin betreffend Höhe des Lohnes sowie eine entsprechende Lohnabrechnung ein (SAK-act. 60 f.), worauf die SAK der Beschwerdeführerin mit Schreiben vom 22. Mai 2017 mitteilte, da der erzielte Bruttolohn den Betrag von Fr. 2'350.- nicht überschreite, bestehe der Rentenanspruch weiter (SAK-act. 62). Mit Schreiben vom 3. Juli 2017 forderte die SAK die Beschwerdeführerin wiederum auf, den beigelegten Zusatzfragebogen auszufüllen und eine Bescheinigung betreffend Ausbildung nach dem 31. August 2017 einzureichen (SAK-act. 63). Mit E-Mail vom 21. August 2017 teilte die Beschwerdeführerin mit, sie habe - wie bereits mitgeteilt - eine Teilzeitbeschäftigung aufgenommen und werde aus gesundheitlichen Gründen frühestens im Herbst 2018 eine Ausbildung beginnen (SAK-act. 64). Nach mehrmaliger Nachfrage der SAK (SAK-act. 65, 66 und 68) stellte die Beschwerdeführerin der SAK mit E-Mail vom 5. und 7. November 2017 eine Kündigungsbestätigung der Berufsschule zu (SAK-act. 69 und 71). Mit Einschreiben vom 28. November 2017 (SAK-act. 72) stellte die Vorinstanz fest, dass die Rentenbetreffnisse von Dezember 2016 bis August 2017 zu Unrecht ausbezahlt worden und diese zurückzuerstatten seien. Die Vorinstanz gewährte der Beschwerdeführerin eine Frist von 30 Tagen, um sich dazu zu äussern. Die SAK stellte der Beschwerdeführerin den Erlass einer durch Einsprache anfechtbare Rückerstattungsverfügung in Aussicht. Am 1. Dezember 2017 verfügte die SAK die rückwirkende Einstellung der Rentenzahlungen per 30. November 2016 (SAK-act. 73). Mit Schreiben vom 10. Dezember 2017 und ergänzender Begründung vom 15. Januar 2018 erhob die Beschwerdeführerin Einsprache gegen die Verfügung vom 1. Dezember 2017 (SAK-act. 74 f.). Mit Einspracheentscheid vom 17. Mai 2018 (SAK-act. 77) wies die Vorinstanz die Einsprache ab und wies darauf hin, dass noch keine anfechtbare Rückerstattungsverfügung erlassen worden sei. Mit Urteil C-3624/2018 vom 5. Dezember 2019 (SAK-act. 127) bestätigte das Bundesverwaltungsgericht den Einspracheentscheid. Das Bundesgericht trat Urteil 9C_164/2020 vom 3. März 2020 (SAK-act. 129) nicht auf die dagegen erhobene Beschwerde ein, womit die Feststellung der Rechtswidrigkeit des Leistungsbezugs rechtskräftig geworden ist. Aufgrund des soeben Dargelegten ergibt sich, dass die Vorinstanz erst durch die E-Mails der Beschwerdeführerin vom 5. respektive 7. November 2017 Kenntnis darüber hatte, dass jene ihre Ausbildung abgebrochen hatte. Am 28. November 2017 stellte die SAK fest, dass die Leistungen zu Unrecht ausbezahlt worden und die Rentenbetreffnisse von Dezember 2016 bis August 2017 zurückzubezahlen seien. Ferner stellte sie der Beschwerdeführerin eine entsprechende Rückerstattungsverfügung in Aussicht. Rechtsprechungsgemäss genügt es zur Fristwahrung, dass im Vorbescheid festgehalten wurde, aufgrund der vorliegenden Verletzung der Meldepflicht seien die in dieser Zeit zu Unrecht bezogenen Leistungen zurückzuerstatten, worüber der Versicherte eine separate Verfügung erhalten werde (vgl. SVR 2011 IV Nr. 52 S. 155, 8C_699/2010 E. 2 und 5.1). Dieses Erfordernis erfüllt das Schreiben vom 28. November 2017. Hievon abgesehen wäre auch die Verfügung vom 12. März 2020 fristwahrend, da das Bundesgericht schon wiederholt erkannt hat, es sei nicht bundesrechtswidrig, zuverlässige Kenntnis von der Rechtswidrigkeit des Leistungsbezugs erst nach Eintritt der Rechtskraft der Rentenaufhebung anzunehmen (Urteil 8C_85/2016 E. 7.4 mit Hinweis). Weshalb dies im vorliegenden Fall nicht gelten sollte, ist nicht begründet dargetan (Urteil des BGer 8C_601/2016 und 8C_602/2016 vom 29. November 2016 E. 7.2.2). Da die Rechtswidrigkeit des Leistungsbezugs erst mit Urteil des Bundesgerichts 9C_164/2020 vom 3. März 2020 rechtskräftig wurde und die Vorinstanz bereits wenige Tage später am 12. März 2020 die Rückforderungsverfügung erliess, ist somit auch die relative einjährige Frist gewahrt.</w:t>
      </w:r>
    </w:p>
    <w:p>
      <w:r>
        <w:rPr>
          <w:b/>
        </w:rPr>
        <w:t>E. 3.3</w:t>
      </w:r>
    </w:p>
    <w:p>
      <w:r>
        <w:t>Was die Höhe des Rückforderungsbetrags betrifft, so ist festzuhalten, dass unbestritten ist, dass die Beschwerdeführerin in der Zeit von Dezember 2016 bis August 2017 unrechtmässig eine monatliche Rente à Fr. 101.- bezogen hat und somit der Rückforderungsbetrag - wie die Vorinstanz korrekt festgestellt hat - Fr. 909.- beträgt. Dies hat die Beschwerdeführerin denn auch nicht bestritten.</w:t>
      </w:r>
    </w:p>
    <w:p>
      <w:r>
        <w:rPr>
          <w:b/>
        </w:rPr>
        <w:t>E. 3.4</w:t>
      </w:r>
    </w:p>
    <w:p>
      <w:r>
        <w:t>Die von der Beschwerdeführerin für einen Verzicht auf die Rückforderung sinngemäss geltend gemachten (Erlass-)Gründe (insbesondere Gutgläubigkeit, Vertrauensschutz) sind hier nicht zu prüfen, da über diese gemäss Art. 4 Abs. 1 und 2 ATSV (SR 830.11) erst im Rahmen eines Erlassgesuchs nach Eintritt der Rechtskraft der Rückerstattungsverfügung entschieden werden kann. Zusammenfassend ist festzuhalten, dass die Vorinstanz von der Beschwerdeführerin zu Recht den Betrag von Fr. 909.- für unrechtmässig bezogene Leistungen im Zeitraum Dezember 2016 bis August 2017 zurückgefordert hat. Ob die Beschwerdeführerin den Betrag tatsächlich zurückbezahlen muss, ist erst nach Eintritt der Rechtskraft der Rückerstattungsverfügung zu prüfen; insoweit ist auf die Beschwerde nicht einzutreten und im Übrigen ist sie im einzelrichterlichen Verfahren gemäss Art. 23 Abs. 2 VGG in Verbindung mit Art. 85bis Abs. 3 AHVG abzuweisen.</w:t>
      </w:r>
    </w:p>
    <w:p>
      <w:r>
        <w:rPr>
          <w:b/>
        </w:rPr>
        <w:t>E. 4</w:t>
      </w:r>
    </w:p>
    <w:p>
      <w:r>
        <w:t>Zu befinden bleibt noch über die Verfahrenskosten und eine allfällige Parteientschädigung.</w:t>
      </w:r>
    </w:p>
    <w:p>
      <w:r>
        <w:rPr>
          <w:b/>
        </w:rPr>
        <w:t>E. 4.1</w:t>
      </w:r>
    </w:p>
    <w:p>
      <w:r>
        <w:t>Das Verfahren ist für die Parteien kostenlos (Art. 85bis Abs. 2 AHVG [in der bis zum 31. Dezember 2020 in Kraft stehenden Fassung]), sodass für das vorliegende, vor dem 31. Dezember 2020 anhängig gemachte Verfahren,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ebenso wenig 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