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C-2531/2012 vom 29. August 2013</w:t>
      </w:r>
    </w:p>
    <w:p>
      <w:r>
        <w:t>Bundesverwaltungsgericht, 2013-08-29, DE</w:t>
      </w:r>
    </w:p>
    <w:p>
      <w:r>
        <w:rPr>
          <w:b/>
        </w:rPr>
        <w:t xml:space="preserve">Quelle: </w:t>
      </w:r>
      <w:r>
        <w:t>https://mcp.opencaselaw.ch/entscheid/bvger_C-2531_2012</w:t>
      </w:r>
    </w:p>
    <w:p>
      <w:r>
        <w:t>FR: TAF C-2531/2012 du 29 août 2013</w:t>
      </w:r>
    </w:p>
    <w:p>
      <w:r>
        <w:t>IT: TAF C-2531/2012 del 29 agosto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sowie BVGE 2012/21 E.5.1).</w:t>
      </w:r>
    </w:p>
    <w:p>
      <w:r>
        <w:rPr>
          <w:b/>
        </w:rPr>
        <w:t>E. 3.1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Die Vorinstanz hat in der angefochtenen Verfügung die Ausschrei­bung des Einreiseverbots im SIS angeordnet. Nach Massgabe der Art. 21 und Art. 24 der Verordnung (EG) Nr. 1987/2006 vom 20. Dezember 2006 über die Einrichtung, den Betrieb und die Nutzung des Schengener Informa­tionssystems der zweiten Generation (SIS II), Abl. L 381 vom 28. Dezember 2006, S. 4 23 (nachfolgend SIS-II-Verordnung) - die per 9. April 2013 die in den hier relevanten Punkten gleichlautenden Art. 94 und Art. 96 des Übereinkommens vom 19. Juni 1990 zur Durchführung des Übereinkommens betreffend den schrittweisen Abbau der Kontrollen an den gemeinsamen Grenzen (Schengener Durchführungsübereinkom­men [SDÜ], Abl. L 239 vom 22. September 2000, S. 19-62) abgelöst ha­ben (vgl. den Beschluss des Rates 2013/158/EU vom 7. März 2013, Abl. L 87 vom 27. März 2013, S. 10 11 i.V.m. Art. 52 Abs. 1 SIS-II-Verordnung) - wird ein Einreiseverbot gegen eine Person, die nicht das Bürgerrecht ei­nes Schengen-Staates besitzt,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Gründen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w:t>
      </w:r>
    </w:p>
    <w:p>
      <w:r>
        <w:rPr>
          <w:b/>
        </w:rPr>
        <w:t>E. 3.3</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des Ausländerrechts fallen unter diese Begriffsbestimmung und können als solche ein Einreiseverbot nach sich ziehen (vgl. Botschaft, a.a.O., S. 3813).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Bundesverwaltungs­gerichts C 820/2009 vom 9. März 2011 E. 5 mit Hinweisen).</w:t>
      </w:r>
    </w:p>
    <w:p>
      <w:r>
        <w:rPr>
          <w:b/>
        </w:rPr>
        <w:t>E. 4.1</w:t>
      </w:r>
    </w:p>
    <w:p>
      <w:r>
        <w:t>Die Vorinstanz stützt das Einreiseverbot auf Art. 67 Abs. 2 Bst. a AuG. Der Beschwerdeführer sei in der Schweiz erwerbstätig gewesen, ohne im Besitze der erforderlichen Bewilligung zu sein und habe so gegen die öffentliche Sicherheit und Ordnung verstossen.</w:t>
      </w:r>
    </w:p>
    <w:p>
      <w:r>
        <w:rPr>
          <w:b/>
        </w:rPr>
        <w:t>E. 4.2</w:t>
      </w:r>
    </w:p>
    <w:p>
      <w:r>
        <w:t>Gemäss Rapport der Kantonspolizei L._______ vom 7. März 2011 hat der Beschwerdeführer anlässlich seiner Einvernahme ausgeführt, er sei bereits im Januar 2010 in die Schweiz eingereist und habe während rund zwei Monaten, nach Bedarf des Arbeitgebers für Fr. 20.- die Stunde als Hilfsarbeiter auf diversen Baustellen gearbeitet. Da er Geld gebraucht habe, sei er am 15. Januar 2011 erneut in die Schweiz gekommen und habe beim selben Arbeitgeber bis zu seiner Festnahme am 7. März 2011 gearbeitet. Dieser Sachverhalt ist unbestritten.</w:t>
      </w:r>
    </w:p>
    <w:p>
      <w:r>
        <w:rPr>
          <w:b/>
        </w:rPr>
        <w:t>E. 4.3</w:t>
      </w:r>
    </w:p>
    <w:p>
      <w:r>
        <w:t>Nicht von Belang ist vorliegend, dass die Fernhaltemassnahme verhängt wurde, obwohl kein strafrechtliches Verfahren durchgeführt wurde. Das Einreiseverbot knüpft grundsätzlich nicht an die Erfüllung einer Strafnorm, sondern an das Vorliegen einer Polizeigefahr an. Ob eine solche besteht und wie sie zu gewichten ist, hat die Behörde in eigener Kompetenz unter Zugrundelegung spezifisch ausländerrechtlicher Kriterien zu beurteilen. Der Vollständigkeitshalber ist darauf hinzuweisen, dass für die Verhängung eines Einreiseverbots denn auch kein vorsätzlicher Verstoss gegen ausländerrechtliche Bestimmungen erforderlich ist.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Person obliegt es, sich über bestehende Rechte und Pflichten im Zusammenhang mit ausländerrechtlichen Vorschriften ins Bild zu setzen und sich nötigenfalls bei den zuständigen Stellen zu informieren (vgl. Urteil des Bundesverwaltungsgerichts C-6374/2012 vom 23. Mai 2013 E. 5.4 mit Hinweisen).</w:t>
      </w:r>
    </w:p>
    <w:p>
      <w:r>
        <w:rPr>
          <w:b/>
        </w:rPr>
        <w:t>E. 4.4</w:t>
      </w:r>
    </w:p>
    <w:p>
      <w:r>
        <w:t>Der Beschwerdeführer hat nach dem Gesagten durch wiederholte Ausübung einer Erwerbstätigkeit, ohne im Besitze der erforderlichen Bewilligung zu sein hinreichenden Anlass für die Verhängung eines Einreiseverbots gemäss Art. 67 Abs. 2 Bst. a AuG gegeben.</w:t>
      </w:r>
    </w:p>
    <w:p>
      <w:r>
        <w:rPr>
          <w:b/>
        </w:rPr>
        <w:t>E. 5.1</w:t>
      </w:r>
    </w:p>
    <w:p>
      <w:r>
        <w:t>Zu prüfen bleibt,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5.2</w:t>
      </w:r>
    </w:p>
    <w:p>
      <w:r>
        <w:t>Der Beschwerdeführer ist in zwei aufeinanderfolgenden Jahren, jeweils während rund zwei Monaten in der Schweiz einer Erwerbstätigkeit nachgegangen, ohne im Besitze der dafür notwendigen Bewilligung zu sein, wobei zu beachten ist, dass die letzte Erwerbstätigkeit erst durch die Polizeikontrolle ihr Ende fand. Aus dem manifestierten Verhalten des Beschwerdeführers wird auf eine Gefährdung der öffentlichen Sicherheit und Ordnung geschlossen. Das Einreiseverbot hat in erster Linie präventiven Charakter, um einer weiteren illegalen Erwerbstätigkeit des Beschwerdeführers entgegenzuwirken. Die Vorinstanz war demnach berechtigt, zur Abwendung künftiger Störungen ein Einreiseverbot zu verhängen. Den ausländerrechtlichen Normen kommt im Interesse einer funktionierenden Rechtsordnung grundsätzlich eine zentrale Bedeutung zu. Namentlich das generalpräventiv motivierte Interesse, die ausländerrechtliche Ordnung durch eine konsequente Massnahmenpraxis zu schützen, ist als gewichtig zu betrachten (vgl. dazu Urteil des Bundesgerichts 2C_948/2011 vom 11. Juli 2012 E. 3.4.2 in fine). Überdies liegt eine spezialpräventive Zielsetzung der Massnahme darin, dass sie den Betroffenen ermahnt, bei einer allfälligen künftigen Wiedereinreise in die Schweiz nach Ablauf der Dauer des Einreiseverbots die für ihn geltenden Regeln einzuhalten (vgl. hierzu Urteil des Bundesverwaltungsgerichts C 2771/2010 vom 3. Februar 2012 E. 6.1). Es besteht somit ein gewichtiges öffentliches Interesse an der Fernhaltung des Beschwerdeführers.</w:t>
      </w:r>
    </w:p>
    <w:p>
      <w:r>
        <w:rPr>
          <w:b/>
        </w:rPr>
        <w:t>E. 5.3</w:t>
      </w:r>
    </w:p>
    <w:p>
      <w:r>
        <w:t>Als persönliches Interesse bringt der Beschwerdeführer vor, er wolle seinen Bruder, welcher eine Herzoperation gehabt habe, weiterhin besuchen können. Der in Serbien lebende Beschwerdeführer verfügt in der Schweiz über kein Aufenthaltsrecht, weshalb die Pflege regelmässiger persönlicher Kontakte zu seinem Bruder bereits daran scheitert. Die Wirkung des Einreiseverbots besteht zudem nicht darin, dass dem Beschwerdeführer während dessen Geltungsdauer Besuchsaufenthalte bei ihm nahe stehenden Personen in der Schweiz schlichtweg untersagt wären. So kann das Einreiseverbot auf begründetes Gesuch hin aus wichtigen Gründen befristet suspendiert werden (vgl. Art. 67 Abs. 5 AuG). In Anbetracht dieser Umstände ist das Gewicht der privaten Interessen des Beschwerdeführers an der Möglichkeit, in naher Zukunft in die Schweiz einreisen zu können, als nicht erheblich einzustufen.</w:t>
      </w:r>
    </w:p>
    <w:p>
      <w:r>
        <w:rPr>
          <w:b/>
        </w:rPr>
        <w:t>E. 5.4</w:t>
      </w:r>
    </w:p>
    <w:p>
      <w:r>
        <w:t>Eine Abwägung der gegenläufigen öffentlichen und privaten Interessen führt das Bundesverwaltungsgericht zum Schluss, dass das verhängte Einreiseverbot sowohl im Grundsatz als auch hinsichtlich seiner Dauer eine verhältnismässige und angemessene Massnahme zum Schutz der öffentlichen Sicherheit und Ordnung darstellt.</w:t>
      </w:r>
    </w:p>
    <w:p>
      <w:r>
        <w:rPr>
          <w:b/>
        </w:rPr>
        <w:t>E. 6</w:t>
      </w:r>
    </w:p>
    <w:p>
      <w:r>
        <w:t>Aus diesen Erwägungen ergibt sich, dass die angefochtene Verfügung Bundesrecht nicht verletzt (vgl. Art. 49 VwVG). Die Beschwerde ist daher abzuweisen.</w:t>
      </w:r>
    </w:p>
    <w:p>
      <w:r>
        <w:rPr>
          <w:b/>
        </w:rPr>
        <w:t>E. 7</w:t>
      </w:r>
    </w:p>
    <w:p>
      <w:r>
        <w:t>Dem Ausgang des Verfahrens entsprechend wird der unterliegende Beschwerdeführer kostenpflichtig (Art. 63 Abs. 1 VwVG). Die Verfahrenskosten sind auf Fr. 900.- festzusetzen (Art. 1, Art. 2 und Art. 3 Bst. b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