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C-2523/2011 vom 17. April 2012</w:t>
      </w:r>
    </w:p>
    <w:p>
      <w:r>
        <w:t>Bundesverwaltungsgericht, 2012-04-17, FR</w:t>
      </w:r>
    </w:p>
    <w:p>
      <w:r>
        <w:rPr>
          <w:b/>
        </w:rPr>
        <w:t xml:space="preserve">Quelle: </w:t>
      </w:r>
      <w:r>
        <w:t>https://mcp.opencaselaw.ch/entscheid/bvger_C-2523_2011</w:t>
      </w:r>
    </w:p>
    <w:p>
      <w:r>
        <w:t>FR: TAF C-2523/2011 du 17 avril 2012</w:t>
      </w:r>
    </w:p>
    <w:p>
      <w:r>
        <w:t>IT: TAF C-2523/2011 del 17 aprile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l'OAI-BS a enregistré et instruit la demande dont la décision, notifiée par l'OAIE conformément à la disposition précitée, a été déférée devant le Tribunal de céans.</w:t>
      </w:r>
    </w:p>
    <w:p>
      <w:r>
        <w:rPr>
          <w:b/>
        </w:rPr>
        <w:t>E. 1.3</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dans sa version applicable jusqu'au 31 mars 2012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1478/71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Ne sont en revanche pas applicables les dispositions de la 6ème révision de la LAI (premier volet) en vigueur depuis le 1er janvier 2012 (RO 2011 5659; FF 2010 1647). En l'espèce, le Tribunal peut se limiter à examiner si le recourant remplissait les conditions d'octroi d'une rente jusqu'au 4 avril 2011, date de la décision attaquée marquant la limite dans le temps du pouvoir d'examen de l'autorité de recours (ATF 129 V 1 consid. 2.1 et ATF 121 V 362 consid. 1b). Il sied de préciser que le Tribunal de céans ne peut prendre en compte la documentation médicale établie après la décision attaquée que dans la mesure où celle-ci permet une meilleure compréhension des atteintes à la santé antérieures.</w:t>
      </w:r>
    </w:p>
    <w:p>
      <w:r>
        <w:rPr>
          <w:b/>
        </w:rPr>
        <w:t>E. 4</w:t>
      </w:r>
    </w:p>
    <w:p>
      <w:r>
        <w:t>La décision dont est recours fait suite à une deuxième demande de rente, une précédente demande ayant été rejetée par décision du 9 avril 2008 confirmée par le Tribunal de céans par arrêt du 27 mai 2010. En application de l'art. 87 al. 3 et 4 RAI,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 En l'espèce, toutefois, l'administration étant entrée en matière sur la deuxième demande de rente déposée par l'intéressé sur invitation du Tribunal de céans dans son arrêt du 27 mai 2010, le Tribunal ne doit se prononcer que sur le bien-fondé de son rejet.</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pendant plusieurs années en dernier lieu comme peintre en bâtiments. Il n'a plus travaillé à compter de sa cessation d'activité pour raison de santé en août 2006.</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le Tribunal de céans a confirmé par arrêt du 27 mai 2010 la décision de l'OAIE du 9 avril 2008 ayant rejeté la demande de rente présentée par l'intéressé au motif d'un état de santé permettant à l'assuré d'exercer toute activité à 80% à l'exception de son ancienne activité de peintre en bâtiment, eu égard à l'existence d'une anémie ferriprive et d'un risque de crises comitiales ne permettant pas de travailler en hauteur. Dans le cadre de la première procédure de recours l'intéressé a produit à l'occasion de sa réplique des rapports médicaux qui de l'avis du Tribunal de céans nécessitaient l'instruction d'une nouvelle demande de rente du fait que ces rapports faisaient état d'une aggravation de l'état de santé survenue après la décision attaquée. Or il appert de l'instruction de cette demande, soit en particulier du rapport d'expertise du BEGAZ du 22 décembre 2010, qui n'est contredit que par des brefs rapports des Drs H._______ et D._______ faisant état d'un suivi médical pour les diverses atteintes de l'assuré, non invalidantes selon le rapport BEGAZ, et d'une incapacité de travail de longue durée, que l'intéressé ne présente pas d'invalidité. Le rapport d'expertise précise que sur les plans orthopédique, cardiologique et psychiatrique l'assuré ne présente aucune atteinte à sa santé limitant sa capacité de travail et qu'il y a même lieu de retenir une amélioration de l'état de santé depuis la première expertise BEGAZ du fait que le diagnostic de suspicion d'épilepsie pouvait ne plus être retenu. Le Tribunal de céans au vu du dossier ne peut que confirmer la décision de l'OAIE du 4 avril 2011 car rien au dossier ne permet de mettre en doute les conclusions des experts. L'intéressé fait certes valoir des rapports médicaux attestant d'une incapacité de travail au long cours pour tout travail et un appuis de de sa commune attestant d'une incapacité de travail de notoriété publique, mais ces moyens de preuve de nature appréciative ne peuvent être retenus car ils ne trouvent pas de substrats documentés. Faute d'être documentées dans l'intensité incapacitante alléguée, les plaintes ne peuvent être retenues par principe d'égalité entre les assurés, lesquels ont la charge de documenter leurs allégués (cf. ATF 130 V 353 consid. 2.2.2. in fine; arrêt du Tribunal fédéral I 600/03 du 30 novembre 2004 consid. 3.2). Par ailleurs, il est à relever dans le cadre de l'appréciation faite des preuves, qu'en ce qui concerne la valeur probante des rapports établis par les médecins traitants,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l'espèce, selon l'expertise BEGAZ du 22 décembre 2010, l'intéressé est en mesure d'exercer toute activité à plein temps y compris sa dernière activité de peintre en bâtiments. Aucun élément médical objectif au dossier ne permet de contredire les conclusions du rapport d'expertise. Il s'ensuit que le Tribunal de céans peut retenir, sans référence à un calcul de l'invalidité par une comparaison de revenus du fait même que la dernière activité peut être exercée, que l'intéressé ne présente aucune invalidité économique. Dans tous les cas, si une limitation devait exister dans sa dernière activité, celle-ci ne saurait se monter au moins à 40%, seuil ouvrant le droit à une rente.</w:t>
      </w:r>
    </w:p>
    <w:p>
      <w:r>
        <w:rPr>
          <w:b/>
        </w:rPr>
        <w:t>E. 11</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Au vu de ce qui précède, il appert que le recours est manifestement infondé. Il convient donc de statuer sur le présent litige dans une procédure à juge unique en application des art. 69 al. 2 LAI et 85bis al. 3 de la loi fédérale du 20 décembre 1946 sur l'assurance-vieillesse et survivants (LAVS, RS 831.10) en relation avec l'art. 23 al. 2 LTAF.</w:t>
      </w:r>
    </w:p>
    <w:p>
      <w:r>
        <w:rPr>
          <w:b/>
        </w:rPr>
        <w:t>E. 13.1</w:t>
      </w:r>
    </w:p>
    <w:p>
      <w:r>
        <w:t>Vu l'issue de la cause, les frais de procédure, fixés à 400 francs, sont mis à la charge du recourant (art. 63 al. 1 PA en relation avec l'art. 37 LTAF). Ce montant est compensé par l'avance de frais déjà fournie de même montant.</w:t>
      </w:r>
    </w:p>
    <w:p>
      <w:r>
        <w:rPr>
          <w:b/>
        </w:rPr>
        <w:t>E. 13.2</w:t>
      </w:r>
    </w:p>
    <w:p>
      <w:r>
        <w:t>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