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C-2522/2014 vom 7. Oktober 2015</w:t>
      </w:r>
    </w:p>
    <w:p>
      <w:r>
        <w:t>Bundesverwaltungsgericht, 2015-10-07, DE</w:t>
      </w:r>
    </w:p>
    <w:p>
      <w:r>
        <w:rPr>
          <w:b/>
        </w:rPr>
        <w:t xml:space="preserve">Quelle: </w:t>
      </w:r>
      <w:r>
        <w:t>https://mcp.opencaselaw.ch/entscheid/bvger_C-2522_2014</w:t>
      </w:r>
    </w:p>
    <w:p>
      <w:r>
        <w:t>FR: TAF C-2522/2014 du 7 octobre 2015</w:t>
      </w:r>
    </w:p>
    <w:p>
      <w:r>
        <w:t>IT: TAF C-2522/2014 del 7 ottobre 2015</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sowie Art. 40 Abs. 2quater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9. April 2014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9. April 2014, mit welcher die Vorinstanz die seit 1. Oktober 1998 ausgerichtete ganze IV-Rente der Beschwerdeführerin (vgl. Bst. A. hiervor) auf der Grundlage von Bst. a Abs. 1 SchlBest. IVG aufgehoben hat. Die Beschwerdeführerin liess im Rahmen der Hauptanträge ausführen, die Verfügung der IVSTA vom 9. April 2014 sei insofern aufzuheben, als ihr ab dem 1. Juni 2014 nicht weiterhin eine ganze Invalidenrente ausgerichtet werde (Antrag 1). Es sei festzustellen, dass die Aufhebung der ganzen Invalidenrente der Beschwerdeführerin gestützt auf die SchlBest. IVG unzulässig sei (Antrag 2). Demnach ist vorliegend vorab streitig und zu prüfen, ob die vorinstanzliche Erkenntnis, die Voraussetzungen für eine Rentenüberprüfung gemäss Bst. a Abs. 1 SchlBest. IVG seien erfüllt, Bundesrecht verletzt. Weiter ist zu prüfen, ob - falls vorhanden - die Verletzung vom Bundesverwaltungsgericht im Rahmen des vorliegenden Urteils festzustellen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2.1.1</w:t>
      </w:r>
    </w:p>
    <w:p>
      <w:r>
        <w:t>Das am 1. Juni 2002 in Kraft getretene Abkommen vom 21. Juni 1999 zwischen der Schweizerischen Eidgenossenschaft einerseits und der Europäischen Gemeinschaft und ihren Mitgliedstaaten andererseits über die Freizügigkeit (Freizügigkeitsabkommen; FZA; SR 0.142.112.681) wurde durch die Erweiterung der Europäischen Union am 1. Juli 2013 nicht auf den neuen Mitgliedstaat Kroatien ausgeweitet. Bis zur Ausdehnung des Freizügigkeitsabkommens bleibt das bestehende Sozialversicherungsabkommen zwischen der Schweiz und Kroatien anwendbar (vgl. www.bsv.admin.ch &gt; Themen &gt; Internationales &gt; Abkommen &gt; Liste der Sozialversicherungsabkommen &gt; Kroatien; zuletzt besucht am 8. Juli 2015).</w:t>
      </w:r>
    </w:p>
    <w:p>
      <w:r>
        <w:rPr>
          <w:b/>
        </w:rPr>
        <w:t>E. 2.1.2</w:t>
      </w:r>
    </w:p>
    <w:p>
      <w:r>
        <w:t>Nach dem vorstehend Dargelegten resp. aufgrund des Umstands, dass die Beschwerdeführerin Staatsangehörige Kroatiens ist und in Kroatien lebt, finden die Bestimmungen des Abkommens vom 9. April 1996 zwischen der Schweizerischen Eidgenossenschaft und der Republik Kroatien über soziale Sicherheit (SR 0.831.109.291.1; im Folgenden: Abkommen) Anwendung. Demnach bestimmen sich die Fragen im Zusammenhang mit dem Anspruch auf Leistungen der schweizerischen Invalidenversicherung allein aufgrund der schweizerischen Rechtsvorschriften (vgl. Art. 2 bis 4 des Abkommens), insbesondere dem IVG, der IVV, dem ATSG sowie der Verordnung vom 11. September 2002 über den Allgemeinen Teil des Sozialversicherungsrechts (ATSV, SR 830.11; vgl. BGE 130 V 253 E. 2.4).</w:t>
      </w:r>
    </w:p>
    <w:p>
      <w:r>
        <w:rPr>
          <w:b/>
        </w:rPr>
        <w:t>E. 2.2</w:t>
      </w:r>
    </w:p>
    <w:p>
      <w:r>
        <w:t>Vorbehältlich besonderer übergangsrechtlicher Regelungen sind in zeitlicher Hinsicht in materiellrechtlicher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E.1), sind die vorliegend zu beurteilenden Leistungsansprüche im Verfügungszeitpunkt (9. April 2014) nach den Normen des vom Bundesrat auf den 1. Januar 2012 in Kraft gesetzten ersten Teils der 6. IV-Revision zu prüfen.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2.4.1</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2.4.2</w:t>
      </w:r>
    </w:p>
    <w:p>
      <w:r>
        <w:t>Die vorstehend zusammengefasst wiedergegebene Rechtsprechung erfuhr durch den Entscheid des Bundesgerichts 9C_492/2014 vom 3. Juni 2015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Laut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mit Hinweis auf das FZA und die VO 1408/71), ist vorliegend nicht gegeben. Nach der Recht­sprechung des ehemaligen EVG stellt diese Regelung nicht eine blosse Auszah­lungsvorschrift, sondern eine be­sondere Anspruchsvoraussetzung dar (BGE 121 V 275 E. 6c).</w:t>
      </w:r>
    </w:p>
    <w:p>
      <w:r>
        <w:rPr>
          <w:b/>
        </w:rPr>
        <w:t>E. 2.6</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3</w:t>
      </w:r>
    </w:p>
    <w:p>
      <w:r>
        <w:t>Die Beschwerdeführerin geht beschwerdeweise davon aus, dass kein Anwendungsfall von Bst. a Abs. 1 SchlBest. IVG vorliege, weil die bisher laufende Rente nicht aufgrund eines unklaren syndromalen Beschwerdebildes ohne nachweisbare organische Grundlage, sondern insbesondere aufgrund der ärztlicherseits diagnostizierten Depression sowie der Rückenproblematik zugesprochen worden sei (B-act. 1). In der angefochtenen Verfügung vom 9. April 2014 führte die Vorinstanz aus, die Überprüfung der IV-Rente gemäss den SchlBest. IVG habe ergeben, dass die Diagnosen, welche ursprünglich zur Rentenzusprache geführt hätten, zu den ätiologisch-pathogenetisch unklaren syndromalen Zustandsbildern ohne nachweisbare organische Grundlage gehörten (act. 109 S. 3). Vernehmlassungsweise führte sie am 28. August 2014 aus, anlässlich der Berentung mittels Verfügung vom 21. Dezember 1999 seien die Diagnosen eines Status nach Diskushernien-Operation L5/S1 am 23. Juni 1999, einer somatoformen Schmerzstörung und einer schweren ängstlichen Depression vorgelegen. Im neuro-chirurgischen Gutachten vom 9. Juni 2013 habe Dr. med. C._______ festgestellt, dass der Zustand nach der Diskushernien-Operation schon seit längerem keine Arbeitsunfähigkeit in mittelschweren Hilfsarbeiten mehr verursache. In Bezug auf die neurologische und orthopädische Situation sei somit im Vergleich zum Zeitpunkt der Berentung eine relevante Besserung festzustellen. Aufgrund des Gutachtens von Dr. med. D._______ sei es bezüglich der psychischen Komorbidität im Vergleich zum Zeitpunkt der Berentung zu einer teilweisen Besserung gekommen. Die Vorinstanz vertrat den Standpunkt, dass ein Anwendungsfall von Bst. a Abs. 1 SchlBest. IVG gegeben sei, weil sich die erklärbaren und die unklaren Beschwerden trennen liessen. Somit ist erstellt, dass sich die Vorinstanz bei der Einstellung der Rentenleistungen einzig auf Bst. a Abs. 1 SchlBest. IVG abgestützt hatte. Zu prüfen ist demnach in erster Linie, ob sich die Vorinstanz bei der Rentenaufhebung zu Recht auf Bst. a SchlBest. IVG berufen hatte. In diesem Zusammenhang ist auch zu klären, ob eine der in Bst. a Abs. 4 SchlBest. IVG genannten Ausnahmesituationen gegeben und ob die ursprüngliche Rentenzusprache (Verfügung vom 21. Dezember 1999; act. 15) - bestätigt durch die Mitteilungen vom 29. November 2001 (act. 18 S. 1 und 2) und 5. Juni 2008 (act. 56) - auf einer von Bst. a SchlBest. IVG erfassten gesundheitlichen Beeinträchtigung erfolgt war.</w:t>
      </w:r>
    </w:p>
    <w:p>
      <w:r>
        <w:rPr>
          <w:b/>
        </w:rPr>
        <w:t>E. 3.1</w:t>
      </w:r>
    </w:p>
    <w:p>
      <w:r>
        <w:t>Die Beschwerdeführerin bezog ab dem 1. Oktober 1998 eine Invalidenrente. Am 22. November 2012 konsultierte die Vorinstanz betreffend "Réexamen 6a" ihren internen ärztlichen Dienst. Dieses Datum ist als Zeitpunkt der Einleitung der Überprüfung zu qualifizieren. Mit Blick auf den Zeitraum vom 1. Oktober 1998 bis 22. November 2012 ist festzustellen, dass die Beschwerdeführerin während dieser Zeit noch nicht während mehr als 15 Jahren eine Rente bezogen hatte (vgl. dazu BGE 139 V 442 E. 4 und 5.1 und Urteil des BGer 8C_576/2014 vom 20. November 2014 E. 4). Bei Inkrafttreten der Änderung am 1. Januar 2012 war die 1958 geborene Beschwerdeführerin zudem noch nicht 55 Jahre alt, weshalb keiner der Ausschlussgründe nach Bst. a Abs. 4 SchlBest. IVG gegeben ist. Da die Überprüfung der Rente innerhalb von drei Jahren nach Inkrafttreten dieser Änderungen erfolgt war, ist Bst. a SchlBest. IVG in formeller Hinsicht anwendbar.</w:t>
      </w:r>
    </w:p>
    <w:p>
      <w:r>
        <w:rPr>
          <w:b/>
        </w:rPr>
        <w:t>E. 3.2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und nicht auf eine präzise Diagnose ankommt (vgl. Urteil des BGer 9C_384/2014 vom 10. Juli 2014 E. 3.2). Nach BGE 140 V 197 sind die SchlBest. IVG auch bei kombinierten Beschwerden anwendbar, wenn die unklaren und die «erklärbaren» Beschwerden - sowohl diagnostisch als auch hinsichtlich der funktionellen Folgen - auseinandergehalten werden können. Ein organisch begründeter Teil der Arbeitsunfähigkeit kann bei der Anwendbarkeit der Schlussbestimmungen jedoch nur neu beurteilt werden, sofern eine Veränderung im Sinne von Art. 17 ATSG eingetreten ist (vgl. Urteil des BGer 9C_121/2014 vom 3. September 2014 E. 2.4.2).</w:t>
      </w:r>
    </w:p>
    <w:p>
      <w:r>
        <w:rPr>
          <w:b/>
        </w:rPr>
        <w:t>E. 3.3</w:t>
      </w:r>
    </w:p>
    <w:p>
      <w:r>
        <w:t>Im Rahmen des Rentenbeschlusses vom 12. November 1999 (act. 8) resp. der entsprechenden Verfügung vom 21. Dezember 1999 (act. 15) dienten der IV-Stelle TG als Entscheidbasis im Wesentlichen folgende ärztliche Dokumente:</w:t>
      </w:r>
    </w:p>
    <w:p>
      <w:r>
        <w:rPr>
          <w:b/>
        </w:rPr>
        <w:t>E. 3.3.1</w:t>
      </w:r>
    </w:p>
    <w:p>
      <w:r>
        <w:t>Im Bericht der E._______ vom 8. Dezember 1998 wurden eine somatoforme Schmerzstörung, chronische lumbovertebrale Beschwerden, ein Deconditioning-Syndrom sowie eine Depression mit Angststörung diagnostiziert. Weiter wurde ausgeführt, die vorhandene Depression mit Angststörung sei als Kontextfaktor von entscheidender Bedeutung für die lumbovertebralen Beschwerden. Aus psychiatrischer Sicht bestehe seit Oktober 1997 bis auf Weiteres eine 100%ige Arbeitsunfähigkeit. Aus somatischer Sicht sei die Versicherte körperlich belastbar (act. 2).</w:t>
      </w:r>
    </w:p>
    <w:p>
      <w:r>
        <w:rPr>
          <w:b/>
        </w:rPr>
        <w:t>E. 3.3.2</w:t>
      </w:r>
    </w:p>
    <w:p>
      <w:r>
        <w:t>Mit Datum vom 29. Dezember 1998 diagnostizierte Dr. med. F._______ unter anderem eine somatoforme Schmerzstörung, chronische lumbovertebrale Beschwerden, ein Deconditioning-Syndrom sowie eine Depression mit Angststörung. Er berichtete weiter, die Versicherte sei mit einem leidenden Gesichtsausdruck erschienen, und im Gespräch offenbarten sich alle Zeichen einer schweren Depression. Es liege auch eine Veränderung des Charakters vor. Es bestehe eine Klopf- und Druckdolenz lumbal. Bei einer früheren radiologischen Untersuchung habe eine kleine Diskushernie L4/L5 und L5/S1 bei weitem Spinalkanal bestanden. Neurologisch liege ein normales Reflexverhalten vor (act. 4 S. 1 bis 2).</w:t>
      </w:r>
    </w:p>
    <w:p>
      <w:r>
        <w:rPr>
          <w:b/>
        </w:rPr>
        <w:t>E. 3.3.3</w:t>
      </w:r>
    </w:p>
    <w:p>
      <w:r>
        <w:t>Am 26. Juli 1999 berichtete Dr. med. G._______, Facharzt für Psychiatrie und Psychotherapie, die Versicherte habe sich am 23. Juni 1999 einer Diskushernienoperation unterziehen müssen, weil die Beschwerden sehr stark progredierten. Diese Operation sei problemlos verlaufen, die Schmerzen persistierten jedoch weiterhin. Schon jahrelang habe die Versicherte auch unter psychischen Beschwerden gelitten. Sie sei immer sehr sensibel und nachdenklich gewesen, jedoch nicht tief depressiv. Erst nachdem sie vier Brüder verloren habe, habe sie psychisch dekompensiert. Er, Dr. med. G._______, betreue die Versicherte seit Frühling 1997. Damals habe eine tiefe Depression bestanden. Die Versicherte habe sich auf ihre körperlichen Beschwerden bzw. die starken Schmerzen konzentriert, welche sie bis zur totalen Immobilisierung geplagt hätten. Dazu sei ihre persönliche Lebenssituation zum Vorschein gekommen. Es sei bis jetzt nicht gelungen, die Symptome der Depression und die Verlustängste zu überwinden. Mit dem Verlust ihrer Brüder habe sie eine für sie sehr belastende Situation erlebt, welche auch weitere starke Verlustängste (auf ihre Kinder übertragen) ausgelöst habe. Dabei spielten auch die chronischen Schmerzen eine wichtige Rolle. Sie seien einerseits durch die früher bestehende Diskushernie ausgelöst worden, und andererseits hätten sie eine symbolische Bedeutung (Ausdruck der Verluste, Ersatz der Beziehung, usw.). Es handle sich bei der Versicherten um ein psychisches Leiden mit Krankheitswert. Der Zustand habe sich chronifiziert und einen invalidisierenden Verlauf genommen. Wegen des körperlichen und seelischen Leidens sei sie zu 100 % arbeitsunfähig (act. 4 S. 3 bis 5).</w:t>
      </w:r>
    </w:p>
    <w:p>
      <w:r>
        <w:rPr>
          <w:b/>
        </w:rPr>
        <w:t>E. 3.4.1</w:t>
      </w:r>
    </w:p>
    <w:p>
      <w:r>
        <w:t>Im vorliegenden Fall lagen im Zeitpunkt der Rentenfestsetzung insbesondere die Diagnosen einer somatoformen Schmerzstörung (pathogenetisch-ätiologisch unklares syndromales Beschwerdebild ohne nachweisbare organische Grundlage im Sinne von Bst. a Abs. 1 SchlBest. IVG [vgl. BGE 139 V 547 E. 2.2]), von chronischen lumbovertebralen Beschwerden, eines Deconditioning-Syndroms sowie einer Depression mit Angststörung vor, wobei aufgrund der Akten nicht erstellt ist, ob die Beschwerdeführerin damals auch in einer leidensangepassten Erwerbstätigkeit eine volle Leistungsunfähigkeit aufgewiesen hatte. Hinsichtlich der attestierten Arbeitsunfähigkeit von 100 % ergibt sich, dass die E._______ diese vollständige Arbeitsunfähigkeit im Bericht vom 8. Dezember 1998 auf rein psychische Gründe abgestützt hat. Auch Dr. med. G._______ erwähnte am 26. Juli 1999, 1997 habe bei der Versicherten eine tiefe Depression bestanden. Er war der Auffassung, die chronischen Schmerzen seien einerseits durch die früher bestehende Diskushernie ausgelöst worden, und andererseits seien diese Ausdruck von Verlusten etc.. Somit waren für Dr. med. G._______ die (psycho-)somatischen und auch die psychischen Leiden Grund für die attestierte 100%ige Arbeitsunfähigkeit. Schliesslich sprach auch Dr. med. F._______ im Dezember 1998 von einer Depression mit Angststörung. Zwar wurden ärztlicherseits somatische Beschwerden resp. Befunde und Schmerzzustände erwähnt. Aufgrund der Ausführungen in den Berichten der E._______ sowie der Dres. med. F._______ und G._______ (vgl. E. 3.3.1 bis 3.3.3 hiervor) ist jedoch mit überwiegender Wahrscheinlichkeit davon auszugehen, dass bereits die schwere Depression mit Angststörung alleine die vollständige Arbeitsunfähigkeit verursacht hatte. Mit anderen Worten war das diagnostizierte pathogenetisch ätiologisch unklare syndromale Beschwerdebild ohne nachweisbare organische Grundlage (in Form der somatoformen Schmerzstörung) im Sinne von Bst. a Abs. 1 SchlBest. IVG nicht - erst recht nicht ausschliesslich - ausschlaggebend bzw. nicht conditio sine qua non für die ursprüngliche Rentenzusprache.</w:t>
      </w:r>
    </w:p>
    <w:p>
      <w:r>
        <w:rPr>
          <w:b/>
        </w:rPr>
        <w:t>E. 3.4.2</w:t>
      </w:r>
    </w:p>
    <w:p>
      <w:r>
        <w:t>Dass im Zusammenhang mit der Gewährung der ganzen IV-Rente aufgrund einer vollständigen Arbeitsunfähigkeit die psychischen Leiden der Beschwerdeführerin im Vordergrund standen, ergibt sich auch aus weiteren aktenkundigen Dokumenten. Vor Bestätigung der ganzen Rente mit Mitteilung vom 29. November 2001 (act. 18 S. 1 und 2) diagnostizierte der Psychiater Dr. med. G._______ in seinem Bericht vom 8. August 2001 eine schwere ängstliche Depression auf dem Boden einer neurotischen Persönlichkeitsstörung. Weiter erwähnte er, psychisch sei die Versicherte gar nicht belastbar und reagiere schon auf kleine Ansprüche mit stärkeren depressiven Symptomen und Angstsymptomen (act. 4 S. 8). Diese Diagnose wurde schliesslich auch von der IV-Stelle TG übernommen (act. 7 S. 9). Bevor die ganze Rente mit Mitteilung vom 5. Juni 2008 das zweite Mal bestätigt worden war (act. 56), führte Dr. med. H._______ in seiner Stellungnahme vom 29. Mai 2008 aus, nebst den orthopädischen Problemen bestünden klare Zeichen einer Depression mit Schlafstörungen, Gedankenkreisen und sozialem Rückzug (act. 55 S. 1).</w:t>
      </w:r>
    </w:p>
    <w:p>
      <w:r>
        <w:rPr>
          <w:b/>
        </w:rPr>
        <w:t>E. 3.4.3</w:t>
      </w:r>
    </w:p>
    <w:p>
      <w:r>
        <w:t>Ergänzend ist auf Folgendes hinzuweisen: Selbst wenn die Verminderung des Leistungsvermögens ausdrücklich auf die somatischen und psychischen Beeinträchtigungen zurückzuführen wäre und sich - anders als in BGE 140 V 197 (vgl. E. 3.2 hiervor) - trotz diagnostisch unterscheidbaren Krankheitsbildern keine anteilsmässige Zuordnung der Arbeitsunfähigkeit(en) vornehmen liesse, wäre von "erklärbaren" Beschwerden im Sinne von BGE 140 V 197 auszugehen, was eine Überprüfung unter dem Titel der SchlBest. IVG ebenfalls ausschliessen würde (vgl. zum Ganzen auch Urteil des BGer 8C_34/2014 vom 8. Juli 2014 E. 4.2.1).</w:t>
      </w:r>
    </w:p>
    <w:p>
      <w:r>
        <w:rPr>
          <w:b/>
        </w:rPr>
        <w:t>E. 4</w:t>
      </w:r>
    </w:p>
    <w:p>
      <w:r>
        <w:t>Aufgrund der vorstehenden Erwägungen ist zusammenfassend festzustellen, dass die rechtskräftig zugesprochene Rente der Beschwerdeführerin nicht gestützt auf Bst. a Abs. 1 SchlBest. IVG eingestellt werden kann. Die vorinstanzliche Erkenntnis, die Voraussetzungen für eine Rentenüberprüfung gemäss Bst. a Abs. 1 SchlBest. IVG seien erfüllt, verletzt Bundesrecht. Die Beschwerde vom 9. Mai 2014 ist folglich insofern gutzuheissen, als die angefochtene Verfügung vom 9. April 2014 aufzuheben ist. Ergänzend ist mit Blick auf den Antrag 2, es sei die Unzulässigkeit der Aufhebung der ganzen Invalidenrente gestützt auf die SchlBest. IVG festzustellen, darauf hinzuweisen, dass ein Feststellungsurteil subsidiärer Natur ist. Die Interessen der Beschwerdeführerin werden mit dem Erlass des vorliegenden Gestaltungsurteils gewahrt und ihr entstehen dadurch keine unzumutbaren Nachteile (vgl. hierzu Urteil des Bundesgerichts 1C_6/2007 vom 22. August 2007 E. 3; Beatrice Weber-Dürler, in: Auer/Müller/Schindler [Hrsg.], Kommentar zum Bundesgesetz über das Verwaltungsverfahren [VwVG], Zürich 2008, Rz. 12 ff. zu Art. 25 VwVG).</w:t>
      </w:r>
    </w:p>
    <w:p>
      <w:r>
        <w:rPr>
          <w:b/>
        </w:rPr>
        <w:t>E. 5.1</w:t>
      </w:r>
    </w:p>
    <w:p>
      <w:r>
        <w:t>Das Beschwerdeverfahren ist kostenpflichtig (Art. 69 Abs. 1bis und 2 IVG), wobei die Verfahrenskosten gemäss Art. 63 Abs. 1 VwVG in der Regel der unterliegenden Partei auferlegt werden. Weil die Beschwerdeführerin obsiegt, sind ihr keine Kosten aufzuerlegen. Ihr ist der geleistete Verfahrenskostenvorschuss von Fr. 400.- nach Eintritt der Rechtskraft des vorliegenden Urteils zurückzuerstatten. Der Vorinstanz werden ebenfalls keine Verfahrenskosten auferlegt (Art. 63 Abs. 2 VwVG).</w:t>
      </w:r>
    </w:p>
    <w:p>
      <w:r>
        <w:rPr>
          <w:b/>
        </w:rPr>
        <w:t>E. 5.2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2'700.-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