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C-2518/2023 vom 5. April 2023</w:t>
      </w:r>
    </w:p>
    <w:p>
      <w:r>
        <w:t>Bundesverwaltungsgericht, 2023-04-05, DE</w:t>
      </w:r>
    </w:p>
    <w:p>
      <w:r>
        <w:rPr>
          <w:b/>
        </w:rPr>
        <w:t xml:space="preserve">Quelle: </w:t>
      </w:r>
      <w:r>
        <w:t>https://mcp.opencaselaw.ch/entscheid/bvger_C-2518_2023_d20230405</w:t>
      </w:r>
    </w:p>
    <w:p>
      <w:r>
        <w:t>FR: TAF C-2518/2023 du 5 avril 2023</w:t>
      </w:r>
    </w:p>
    <w:p>
      <w:r>
        <w:t>IT: TAF C-2518/2023 del 5 aprile 2023</w:t>
      </w:r>
    </w:p>
    <w:p>
      <w:pPr>
        <w:pStyle w:val="Heading2"/>
      </w:pPr>
      <w:r>
        <w:t>Regeste</w:t>
      </w:r>
    </w:p>
    <w:p>
      <w:r>
        <w:t>Alters- und Hinterlassenenversicherung (&amp;Uuml;briges) | Alters- und Hinterlassenenversicherung, Rückerstattung, Einspracheentscheid der SAK vom 5. April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Bundesverwaltungsgericht ist infolge letzten Wohnsitzes des verstor- benen Versicherten in der Slowakei zur Behandlung der vorliegenden Be- schwerde zuständig (Art. 85bis Abs. 1 AHVG [SR 831.10]; Art. 31, 32 und 33 Bst. d VGG; vgl. Urteile des BVGer C-7080/2016 vom 24. Oktober 2017; C-1934/2015 vom 31. August 2017 E. 1.1; vgl. sinngemäss BGE 143 V 363 E. 5.3; 139 V 170 E. 5.3; Urteil des BGer 9C_489/2022 vom 27. April 2023 E. 3.2.3). Die Beschwerdeführerinnen sind als Adressatinnen des</w:t>
      </w:r>
    </w:p>
    <w:p>
      <w:r>
        <w:t>C-2518/2023 Seite 4 angefochtenen Einsprachentscheids durch diesen besonders berührt und haben ein schutzwürdiges Interesse an dessen Aufhebung oder Abände- rung, weshalb sie zur Erhebung der Beschwerde legitimiert sind (Art. 59 ATSG [SR 830.1]). Auf die frist- und formgerecht eingereichte Beschwerde (Art. 60 ATSG; Art. 52 Abs. 1 VwVG) ist einzutreten.</w:t>
      </w:r>
    </w:p>
    <w:p>
      <w:r>
        <w:rPr>
          <w:b/>
        </w:rPr>
        <w:t>E. 2</w:t>
      </w:r>
    </w:p>
    <w:p>
      <w:r>
        <w:t>Anfechtungsobjekt und damit Begrenzung des Streitgegenstandes des vorliegenden Beschwerdeverfahrens (vgl. BGE 131 V 164 E. 2.1) bildet der Einspracheentscheid vom 5. April 2023, mit welchem die Vorinstanz die Beschwerdeführerinnen zur Rückerstattung der an den verstorbenen Ver- sicherten ausgerichteten AHV-Rente für den Monat Juni 2021 im Betrag von Fr. 1'988.– verpflichtet hat.</w:t>
      </w:r>
    </w:p>
    <w:p>
      <w:r>
        <w:rPr>
          <w:b/>
        </w:rPr>
        <w:t>E. 3.1</w:t>
      </w:r>
    </w:p>
    <w:p>
      <w:r>
        <w:t>Nach Art. 21 Abs. 1 AHVG haben Personen, die das 65. Altersjahr voll- endet haben (Referenzalter), Anspruch auf eine Altersrente. Der Anspruch entsteht am ersten Tag des Monats, welcher dem Erreichen des Referenz- alters folgt, und erlischt mit dem Tod (Art. 21 Abs. 2 AHVG).</w:t>
      </w:r>
    </w:p>
    <w:p>
      <w:r>
        <w:rPr>
          <w:b/>
        </w:rPr>
        <w:t>E. 3.2</w:t>
      </w:r>
    </w:p>
    <w:p>
      <w:r>
        <w:t>Unrechtmässig bezogene Leistungen sind zurückzuerstatten (Art. 25 Abs. 1 ATSG). Der Rückforderungsanspruch erlischt drei Jahre, nachdem die Versicherungseinrichtung davon Kenntnis erhalten hat, spätestens aber fünf Jahre seit der Auszahlung der einzelnen Leistung (Art. 25 Abs. 2 ATSG). Rückerstattungspflichtig sind der Bezüger oder die Bezügerin der unrechtmässig gewährten Leistungen und seine oder ihre Erben (Art. 2 Abs. 1 Bst. a ATSV [SR 830.11]).</w:t>
      </w:r>
    </w:p>
    <w:p>
      <w:r>
        <w:rPr>
          <w:b/>
        </w:rPr>
        <w:t>E. 4.1</w:t>
      </w:r>
    </w:p>
    <w:p>
      <w:r>
        <w:t>Der Versicherte ist am (…) Mai 2021 verstorben. Sein Anspruch auf eine Altersrente der schweizerischen AHV ist somit am 31. Mai 2021 erlo- schen (vgl. Wegleitung über die Renten [RWL] in der Eidgenössischen Al- ters-, Hinterlassenen- und Invalidenversicherung, gültig ab 1. Januar 2003, Stand 1. Januar 2023, Rz. 3010). Die von der Vorinstanz für den Monat Juni 2021 geleistete AHV-Rente wurde folglich unrechtmässig ausgerichtet und ist grundsätzlich zurückzuerstatten.</w:t>
      </w:r>
    </w:p>
    <w:p>
      <w:r>
        <w:rPr>
          <w:b/>
        </w:rPr>
        <w:t>E. 4.2</w:t>
      </w:r>
    </w:p>
    <w:p>
      <w:r>
        <w:t>Aus den Akten ergibt sich, dass der Versicherte schweizerischer Staatsangehöriger war, seinen letzten Wohnsitz in der Slowakei hatte und auch dort verstorben ist. Das slowakische Bezirksgericht (…) hat die</w:t>
      </w:r>
    </w:p>
    <w:p>
      <w:r>
        <w:t>C-2518/2023 Seite 5 Zuständigkeit zur Abwicklung des Nachlasses des Versicherten abgelehnt. Infolgedessen nahm das Teilungsamt (…) als zuständige Behörde am Hei- matort des Versicherten die Nachlassabwicklung an die Hand (vgl. Art. 87 Abs. 1 IPRG [SR 291]). Dem Verfahrensprotokoll des Teilungsamtes (…) vom 27. September 2023 ist zu entnehmen, dass die drei Nachkommen die Erbschaft unbedingt und vorbehaltlos ausgeschlagen haben. Die Be- schwerdeführerinnen haben folglich keine Erbenqualität und sind hinsicht- lich der zu Unrecht ausgerichteten AHV-Rente für den Monat Juni 2021 nicht rückerstattungspflichtig. Die Beschwerde ist daher gutzuheissen und der angefochtene Einspracheentscheid vom 5. April 2023 aufzuheben.</w:t>
      </w:r>
    </w:p>
    <w:p>
      <w:r>
        <w:rPr>
          <w:b/>
        </w:rPr>
        <w:t>E. 5.1</w:t>
      </w:r>
    </w:p>
    <w:p>
      <w:r>
        <w:t>Das Verfahren ist bei Streitigkeiten über Leistungen für die Parteien kostenlos (Art. 85bis Abs. 2 AHVG), weshalb keine Verfahrenskosten zu er- heben sind.</w:t>
      </w:r>
    </w:p>
    <w:p>
      <w:r>
        <w:rPr>
          <w:b/>
        </w:rPr>
        <w:t>E. 5.2</w:t>
      </w:r>
    </w:p>
    <w:p>
      <w:r>
        <w:t>Die obsiegenden, anwaltlich vertretenen Beschwerdeführerinnen haben gemäss Art. 64 Abs. 1 VwVG in Verbindung mit Art. 7 ff. des Regle- ments vom 21. Februar 2008 über die Kosten und Entschädigungen vor dem Bundesverwaltungsgericht (VGKE, SR 173.320.2) Anspruch auf eine Parteientschädigung zu Lasten der Verwaltung. Da keine Kostennote ein- gereicht wurde, ist die Entschädigung aufgrund der Akten festzusetzen (vgl. Art. 14 Abs. 2 VGKE). Unter Berücksichtigung des Verfahrensaus- gangs, des gebotenen und aktenkundigen Aufwands, der Bedeutung der Streitsache und der Schwierigkeit des vorliegend zu beurteilenden Verfah- rens erscheint eine pauschale Parteientschädigung von Fr. 1’200.– (inkl. Auslagen) angemessen.</w:t>
      </w:r>
    </w:p>
    <w:p>
      <w:r>
        <w:t>C-2518/2023 Seite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