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C-2500/2012 vom 3. Mai 2013</w:t>
      </w:r>
    </w:p>
    <w:p>
      <w:r>
        <w:t>Bundesverwaltungsgericht, 2013-05-03, FR</w:t>
      </w:r>
    </w:p>
    <w:p>
      <w:r>
        <w:rPr>
          <w:b/>
        </w:rPr>
        <w:t xml:space="preserve">Quelle: </w:t>
      </w:r>
      <w:r>
        <w:t>https://mcp.opencaselaw.ch/entscheid/bvger_C-2500_2012</w:t>
      </w:r>
    </w:p>
    <w:p>
      <w:r>
        <w:t>FR: TAF C-2500/2012 du 3 mai 2013</w:t>
      </w:r>
    </w:p>
    <w:p>
      <w:r>
        <w:t>IT: TAF C-2500/2012 del 3 maggio 2013</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Tribunal administratif fédéral C-1659/2011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w:t>
      </w:r>
    </w:p>
    <w:p>
      <w:r>
        <w:t>A titre liminaire, le Tribunal constate que les conditions formelles de l'annulation de la naturalisation facilitée prévues à l'art. 41 LN sont réalisées dans le cas particulier. En effet, la naturalisation facilitée accordée le 11 mai 2007 à A._______ a été annulée par l'ODM le 17 avril 2012, soit avant l'échéance du délai péremptoire de huit ans prévu à l'art. 41 al. 1bis LN, dans sa nouvelle version, entrée en vigueur le 1er mars 2011, laquelle se trouve applicable puisque le délai de péremption de l'ancien art. 41 al. 1 LN (RO 1952 1113) n'était pas écoulé au moment de l'entrée en vigueur du nouveau droit (cf. arrêt du Tribunal administratif fédéral C-476/2012 du 19 juillet 2012 consid. 4.4). La décision d'annulation de la naturalisation facilitée est intervenue également dans le cadre du délai relatif de deux ans introduit par l'art. 41 al. 1bis LN et qui a commencé à courir à l'entrée en vigueur du nouveau droit, le 1er mars 2011 (cf. arrêt du TAF précité ibid.). D'autre part, l'accord de l'autorité du canton d'origine, à savoir ici le canton de Uri, a été obtenu le 3 avril 2012.</w:t>
      </w:r>
    </w:p>
    <w:p>
      <w:r>
        <w:rPr>
          <w:b/>
        </w:rPr>
        <w:t>E. 6.1</w:t>
      </w:r>
    </w:p>
    <w:p>
      <w:r>
        <w:t>Il convient dès lors d'examiner si les circonstances du cas particulier répondent aux conditions matérielles de l'annulation de la naturalisation facilitée. Dans son prononcé du 17 avril 2012, l'autorité de première instance a retenu que, contrairement à la déclaration du 11 avril 2007, le mariage de A._______ et de B._______ n'était plus constitutif d'une communauté conjugale effective et stable telle qu'exigée par la loi et définie par la jurisprudence. A cet égard, l'ODM a notamment évoqué que l'intéressé se trouvait dans des conditions de séjour précaires en Suisse lors de son mariage avec la prénommée. Il a également fondé sa conviction sur le fait que le divorce des époux est intervenu peu après l'acquisition de la naturalisation facilitée par l'intéressé et que ce dernier s'est remarié avec une jeune ressortissante algérienne seulement huit mois après son divorce d'avec B._______. L'autorité intimée a par ailleurs considéré qu'au moment de leur séparation, les ex-conjoints ne menaient déjà plus une véritable vie de couple plusieurs années.</w:t>
      </w:r>
    </w:p>
    <w:p>
      <w:r>
        <w:rPr>
          <w:b/>
        </w:rPr>
        <w:t>E. 6.2</w:t>
      </w:r>
    </w:p>
    <w:p>
      <w:r>
        <w:t>Le Tribunal ne partage pas l'appréciation de l'ODM sur la communauté conjugale formée par A._______ et B._______.</w:t>
      </w:r>
    </w:p>
    <w:p>
      <w:r>
        <w:rPr>
          <w:b/>
        </w:rPr>
        <w:t>E. 6.2.1</w:t>
      </w:r>
    </w:p>
    <w:p>
      <w:r>
        <w:t>D'emblée, il convient de relever que l'influence exercée par un statut précaire et plus particulièrement par le risque d'un renvoi sur la décision des époux de se marier ne préjuge pas, à elle seule, de la volonté que les intéressés ont (ou non) de fonder une communauté conjugale effective. Elle ne constitue en effet qu'un indice d'abus si elle est accompagnée d'autres éléments troublants, tels qu'une grande différence d'âge par exemple (cf. ATF 130 II 482 consid. 3.1 p. 485, ATF 121 II 97 consid. 3b p. 101s. ; arrêts du Tribunal fédéral 2C_841/2010 du 4 février 2011 consid. 2 et 5A.11/2006 du 27 juin 2006 consid. 3.1). Or, en l'occurrence, aucun élément du dossier ne corrobore la thèse selon laquelle les époux, qui n'ont par ailleurs qu'une différence d'âge de quatre ans, n'avaient pas la volonté de fonder une communauté conjugale effective. Au contraire, les déclarations de B._______ lors de son audition par la Police de la ville de Lausanne le 6 juillet 2011 ainsi que de nombreux témoignages écrits (provenant des beaux-parents, du beau-frère, de la belle-soeur ainsi que de collègues de travail du recourant) attestent de la réalité de l'union conjugale des prénommés.</w:t>
      </w:r>
    </w:p>
    <w:p>
      <w:r>
        <w:rPr>
          <w:b/>
        </w:rPr>
        <w:t>E. 6.2.2</w:t>
      </w:r>
    </w:p>
    <w:p>
      <w:r>
        <w:t>Il s'impose ensuite de relever que depuis leur mariage le 7 septembre 2001, les époux ont vécu en communauté conjugale durant plus de huit ans et que compte tenu de sa durée, le sérieux de cette union peut difficilement être mis en doute. Le Tribunal de céans estime qu'au vu des éléments du dossier, il appert que A._______ et B._______ menaient une vie de couple ordinaire jusqu'à leur séparation en novembre 2009 (à ce sujet cf. également le consid. 6.2.1 in fine) et que les difficultés liées à l'organisation de leur vie commune ainsi qu'à leur communication dues à l'affection médicale dont souffre B._______ ne sauraient constituer un élément permettant de douter de la stabilité et de l'effectivité de leur union, d'autant plus que selon le médecin traitant de la prénommée, le recourant était présent pour soutenir son ex-épouse (certificat médical du 12 septembre 2011), ce qui ressort également d'un courrier de la belle-soeur de l'intéressé du 4 mai 2005, dans lequel elle indique que le recourant s'occupait à merveille de sa soeur, ainsi que d'un écrit des beaux-parents du prénommé du 3 mai 2005, exposant qu'il prenait bien soin de leur fille. Le Tribunal constate en outre que la séparation des époux est intervenue près de deux ans et demi après l'octroi de la naturalisation facilitée à l'intéressé. Durant une période aussi longue, il est en effet possible que des événements particuliers, entraînant la rupture de l'union conjugale précédemment stable, soient survenus ou que ladite union ait évolué pour devenir intolérable à l'un ou l'autre des conjoints (cf. à ce sujet, à titre d'exemples, les arrêts du Tribunal administratif fédéral C-6452/2011 du 4 janvier 2013 consid. 6.2 et C-4780/2011 du 17 septembre 2012 consid. 6.2). S'agissant des motifs de la séparation, B._______ a confirmé les allégations de son ex-époux, selon lesquelles leur union conjugale s'était dégradée quand sa mère est tombée gravement malade en juin 2009 et qu'elle ne se sentait pas suffisamment soutenue par le recourant durant cette période difficile. Cette crise était renforcée par le fait que durant les dernières années de leur vie commune, l'intéressé avait exprimé le souhait de fonder une famille, alors que la prénommée n'envisageait pas cette possibilité. Le Tribunal estime que, contrairement à ce que l'autorité intimée a retenu à cet égard, il est tout à fait envisageable que la question d'une éventuelle descendance commune ne soit pas tranchée une fois pour toutes au début d'un mariage mais que l'un des conjoints ne se rende compte du fait qu'il souhaite avoir des enfants qu'après plusieurs années de vie commune.</w:t>
      </w:r>
    </w:p>
    <w:p>
      <w:r>
        <w:rPr>
          <w:b/>
        </w:rPr>
        <w:t>E. 6.3</w:t>
      </w:r>
    </w:p>
    <w:p>
      <w:r>
        <w:t>Dans ces circonstances, le fait que le recourant ait entamé une nouvelle relation sentimentale avec une jeune femme également originaire de l'Algérie, qu'il a épousée en novembre 2010, à savoir un an après sa séparation de B._______, ne constitue pas un élément suffisant pour remettre en cause la réalité de son union avec la prénommée, respectivement l'existence d'une communauté conjugale effective et stable lors de la signature de la déclaration commune du 11 avril 2007 et de l'octroi de la naturalisation facilitée à l'intéressé le 11 mai 2007.</w:t>
      </w:r>
    </w:p>
    <w:p>
      <w:r>
        <w:rPr>
          <w:b/>
        </w:rPr>
        <w:t>E. 6.4</w:t>
      </w:r>
    </w:p>
    <w:p>
      <w:r>
        <w:t>En conséquence, il n'est pas possible de retenir, sur la base de la chronologie des faits de la cause et des considérations qui précèdent, la présomption de fait selon laquelle la naturalisation facilitée a été obtenue frauduleusement. Dans ces circonstances, les conditions d'application de l'art. 41 LN ne sont pas remplies et c'est à tort que l'ODM a considéré que la naturalisation facilitée de A._______ avait été obtenue sur la base de déclarations mensongères ou par la dissimulation de faits essentiels.</w:t>
      </w:r>
    </w:p>
    <w:p>
      <w:r>
        <w:rPr>
          <w:b/>
        </w:rPr>
        <w:t>E. 7</w:t>
      </w:r>
    </w:p>
    <w:p>
      <w:r>
        <w:t>Le Tribunal relève enfin, s'agissant de la requête du recourant tendant à l'audition de ses témoins, que l'état de fait pertinent apparaît suffisamment établi par les pièces du dossier afférant à la présente cause et qu'il peut ainsi se dispenser de procéder à des mesures d'investigation complémentaires dans cette affaire. Le Tribunal est à cet égard fondé à mettre un terme à l'instruction lorsque les preuves administrés lui ont permis de former sa conviction et que, procédant d'une manière non arbitraire à une appréciation anticipée des preuves qui lui sont encore proposées, il a la certitude qu'elle ne pourraient l'amener à modifier son opinion (cf. à ce sujet l'ATF 136 I 229 consid. 5.3 et l'arrêt du Tribunal administratif fédéral C-8189/2012 du 6 novembre 2012 consid. 8.2 et les références citées).</w:t>
      </w:r>
    </w:p>
    <w:p>
      <w:r>
        <w:rPr>
          <w:b/>
        </w:rPr>
        <w:t>E. 8</w:t>
      </w:r>
    </w:p>
    <w:p>
      <w:r>
        <w:t>Il ressort de ce qui précède que les conditions requises pour l'annulation d'une naturalisation facilitée au sens de l'art. 41 al. 1 LN ne sont pas réalisées en l'espèce, contrairement à ce qu'à retenu l'autorité inférieure. Le recours est en conséquence admis et la décision querellée est annulée et ce également en tant qu'elle faisait perdre la nationalité suisse aux membres de la famille de l'intéressé qui l'auraient acquise en vertu de la décision annulée. Obtenant gain de cause, le recourant n'a pas à supporter de frais de procédure (cf. art. 63 al. 1 a contrario et al. 3 PA). Bien qu'elle succombe, l'autorité inférieure n'a pas à supporter de frais de procédure (cf.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1'500.-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