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C-249/2019 vom 1. Oktober 2020</w:t>
      </w:r>
    </w:p>
    <w:p>
      <w:r>
        <w:t>Bundesverwaltungsgericht, 2020-10-01, DE</w:t>
      </w:r>
    </w:p>
    <w:p>
      <w:r>
        <w:rPr>
          <w:b/>
        </w:rPr>
        <w:t xml:space="preserve">Quelle: </w:t>
      </w:r>
      <w:r>
        <w:t>https://mcp.opencaselaw.ch/entscheid/bvger_C-249_2019</w:t>
      </w:r>
    </w:p>
    <w:p>
      <w:r>
        <w:t>FR: TAF C-249/2019 du 1 octobre 2020</w:t>
      </w:r>
    </w:p>
    <w:p>
      <w:r>
        <w:t>IT: TAF C-249/2019 del 1 ottobre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(Bact. 4, 7), ist auf die frist- und formgerecht eingereichte Beschwerde einzutreten (Art. 60 ATSG;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Beschwerdeführerin ist kroatischer Staatsangehöriger und hat seinen Wohnsitz in Kroatien. Damit gelangen (seit 1. Januar 2017)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jedoch auch nach dem Inkrafttreten des FZA nach schweizerischem Recht (vgl. BGE 130 V 253 E. 2.4; vgl. Urteile des BVGer C-3981/2016 vom 14. November 2018 E. 2 und C-5609/2016 vom 8. März 2018 E. 3.1).</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23. November 2018 in Kraft standen; weiter aber auch Vorschriften, die zu jenem Zeitpunkt bereits ausser Kraft getreten waren, die aber für die Beurteilung allenfalls früher entstandener Leistungsansprüche von Belang sind.</w:t>
      </w:r>
    </w:p>
    <w:p>
      <w:r>
        <w:rPr>
          <w:b/>
        </w:rPr>
        <w:t>E. 3</w:t>
      </w:r>
    </w:p>
    <w:p>
      <w:r>
        <w:t>In formeller Hinsicht machte der Beschwerdeführer eine Verletzung des rechtlichen Gehörs geltend.</w:t>
      </w:r>
    </w:p>
    <w:p>
      <w:r>
        <w:rPr>
          <w:b/>
        </w:rPr>
        <w:t>E. 3.1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w:t>
      </w:r>
    </w:p>
    <w:p>
      <w:r>
        <w:rPr>
          <w:b/>
        </w:rPr>
        <w:t>E. 3.2</w:t>
      </w:r>
    </w:p>
    <w:p>
      <w:r>
        <w:t>Eine Verletzung des Anspruchs auf rechtliches Gehör führt grundsätzlich ungeachtet der Erfolgsaussichten der Beschwerde in der Sache selbst zur Aufhebung der angefochtenen Verfügung (BGE 132 V 387 E. 5.1; WALDMANN/BICKEL, in: Waldmann/Weissenberger [Hrsg.], Praxiskommentar VwVG, 2. Aufl. 2016, Rz. 106 zu Art. 29 VwVG).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136 V 117 E. 4.2.2.2 m.w.H.).</w:t>
      </w:r>
    </w:p>
    <w:p>
      <w:r>
        <w:rPr>
          <w:b/>
        </w:rPr>
        <w:t>E. 3.3</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138 I 232 E. 5.1 m.H.).</w:t>
      </w:r>
    </w:p>
    <w:p>
      <w:r>
        <w:rPr>
          <w:b/>
        </w:rPr>
        <w:t>E. 3.4</w:t>
      </w:r>
    </w:p>
    <w:p>
      <w:r>
        <w:t>Die Vorinstanz nannte in der «Begründung der Verfügung» die massgebliche gesetzliche Grundlage, wies auf ihre Abklärungen und insbesondere auf das Gutachten des SMAB Bern hin und erwähnte dessen Würdigung durch den RAD. Sie informierte den Rechtsverteter in der «Begründung der Verfügung» - unter Bezugnahme auf dessen Einwand - weiter zutreffend darüber, dass ihre frühere Rentenverfügung vom 21. August 2013 (act. 129, 132) vom Bundesverwaltungsgericht mit dem rechtskräftige Urteil C-5352/2013 vom 7. September 2015 (act. 183) aufgehoben worden und mithin nicht in Rechtskraft erwachsen sei. Es handle sich daher nicht um eine Revision oder Wiedererwägung. Die Vorinstanz hat die angefochtene Verfügung mit dem entsprechenden Dokument rechtsgenüglich begründet (act. 391, Seite 3; act. 394, 395, 396). Nach dem Gesagten wurde im vorliegenden Fall die aus dem Anspruch auf rechtliches Gehör fliessende Begründungspflicht nicht verletzt.</w:t>
      </w:r>
    </w:p>
    <w:p>
      <w:r>
        <w:rPr>
          <w:b/>
        </w:rPr>
        <w:t>E. 3.5</w:t>
      </w:r>
    </w:p>
    <w:p>
      <w:r>
        <w:t>Weil der Rechtsvertreter in der Beschwerde wiederum davon schreibt, dass für «eine nachträgliche Änderung» der Verfügung vom 21. August 2013 «die Voraussetzungen» nicht gegeben seien (Bact. 1, Seite 2, 3), ist an dieser Stelle zu unterstreichen, dass das Bundesverwaltungsgericht die damalige vorinstanzliche Annahme einer vollen Arbeits- und Erwerbsfähigkeit ab 1. Dezember 2005 nicht mit dem erforderlichen Beweisgrad der überwiegenden Wahrscheinlichkeit nachvollziehen konnte. Die Arbeits- und Erwerbsfähigkeit war zum damaligen Zeitpunkt nach Auffassung des Bundesverwaltungsgerichts ungeklärt, weshalb es die Durchführung einer polydisziplinären Begutachtung anordnete, was für die Vorinstanz verbindlich war. Die Verfügung vom 21. August 2013 wurde aufgehoben.</w:t>
      </w:r>
    </w:p>
    <w:p>
      <w:r>
        <w:rPr>
          <w:b/>
        </w:rPr>
        <w:t>E. 4</w:t>
      </w:r>
    </w:p>
    <w:p>
      <w:r>
        <w:t>Der Anspruch auf eine schweizerische Invalidenrente ist folgendermassen normiert: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4.3</w:t>
      </w:r>
    </w:p>
    <w:p>
      <w:r>
        <w:t>Ändert sich der Invaliditätsgrad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Hingegen ist die lediglich unterschiedliche Beurteilung eines im Wesentlichen gleich gebliebenen Sachverhalts im revisionsrechtlichen Kontext unbeachtlich.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vom 17. Januar 1961 über die Invalidenversicherung [IVV, SR 831.201]). Eine Verschlechterung der Erwerbsfähigkeit oder der Fähigkeit, sich im Aufgabenbereich zu betätigen, ist zu berücksichtigen, sobald sie ohne wesentliche Unterbrechung drei Monate gedauert hat (Art. 88a Abs. 2 IVV). Ist eine anspruchserhebliche Änderung des Sachverhalts nicht mit überwiegender Wahrscheinlichkeit erstellt, bleibt es nach dem Grundsatz der materiellen Beweislast beim bisherigen Rechtszustand (vgl. Urteil des BGer 9C_273/2014 vom 16. Juni 2014 E. 3.1.1 mit Hinweis). Die Revisionsbestimmungen (Art. 17 Abs. 1 ATSG; Art. 88a IVV) sind bei der rückwirkenden Zusprechung einer abgestuften oder befristeten Rente analog anwendbar (BGE 133 V 263 E. 6.1 mit Hinweisen; Urteil BGer 8C_269/2015 vom 18. August 2015 E. 3.2).</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4.5</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w:t>
      </w:r>
    </w:p>
    <w:p>
      <w:r>
        <w:t>Zum vorliegenden Fall ist Folgendes zu erwägen:</w:t>
      </w:r>
    </w:p>
    <w:p>
      <w:r>
        <w:rPr>
          <w:b/>
        </w:rPr>
        <w:t>E. 5.1</w:t>
      </w:r>
    </w:p>
    <w:p>
      <w:r>
        <w:t>Der Versicherte meldete sich am 7. Juni 2010 zum zweiten Mal bei der Invalidenversicherung an, nachdem die IV-Stelle B._______ mit der rechtskräftigen Verfügung vom 28. November 2007 seine erste Anmeldung abgewiesen hatte (act. 30, 31). 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Daher steht im vorliegenden Fall nur der Invalidenrentenanspruch ab 1. Dezember 2010 in Frage. Über Leistungen der beruflichen Vorsorge (BVG-Leistungen) ist hingegen nicht zu befinden.</w:t>
      </w:r>
    </w:p>
    <w:p>
      <w:r>
        <w:rPr>
          <w:b/>
        </w:rPr>
        <w:t>E. 5.2</w:t>
      </w:r>
    </w:p>
    <w:p>
      <w:r>
        <w:t>Von der Invalidenversicherung war demzufolge nur die Rentenberechtigung ab 1. Dezember 2010 abzuklären. Die Vorinstanz holte zu diesem Zweck beim SMAB Bern ein polydisziplinäres Gutachten ein, an dem die Disziplinen Psychiatrie (Federführung), Neuropsychologie, Innere Medizin, Orthopädie / Traumatologie und Neurologie mitwirkten (act. 372). Entgegen den Ausführungen des Beschwerdeführers war «eine fachmedizinische Abklärung über die Identität der seit 2005 fortbestehenden Beschwerden mit den invalidisierenden Arbeitsunfähigkeiten» zur Beantwortung der vorliegenden Fragestellung nicht «zu evaluieren» (Bact. 1, Seite 2). Weitergehende Ausführungen zu den gesundheitlichen Beeinträchtigungen, die sich unmittelbar nach dem Autounfall am 5. Dezember 2004 einstellten, können an dieser Stelle unterbleiben. Es ist stattdessen auf die rechtskräftige Verfügung vom 28. November 2007 zu verweisen, mit der die IV-Stelle B._______ auf der Grundlage des Gutachtens des Klinikums F._______ vom 31. März 2007 einen Rentenanspruch bei einem Invaliditätsgrad von 19 % verneinte (act. 27, Seite 4, act. 31).</w:t>
      </w:r>
    </w:p>
    <w:p>
      <w:r>
        <w:rPr>
          <w:b/>
        </w:rPr>
        <w:t>E. 5.3</w:t>
      </w:r>
    </w:p>
    <w:p>
      <w:r>
        <w:t>Die Vorinstanz sprach dem Versicherten mit der angefochtenen Verfügung vom 23. November 2018 eine halbe Invalidenrente ab 1. Dezember 2010 und eine ganze Invalidenrente ab 1. Januar 2013 sowie die jeweiligen Kinderrenten zu (act. 391, 394, 395, 396). Sie orientierte sich dabei am polydisziplinären Gutachten des SMAB Bern vom 7. Mai 2018, das als beweiskräftig einzustufen ist. Darin wurde unter anderem festgehalten, dass im Austrittsbericht des Psychiatrischen Zentrums E._______ vom 12. Oktober 2012 erstmals die Diagnose (einer mittelgradigen) Demenz gestellt worden sei. Spätestens ab diesem Zeitpunkt sei keine Arbeitsfähigkeit mehr anzunehmen (act. 372, Seite 29).</w:t>
      </w:r>
    </w:p>
    <w:p>
      <w:r>
        <w:rPr>
          <w:b/>
        </w:rPr>
        <w:t>E. 5.4</w:t>
      </w:r>
    </w:p>
    <w:p>
      <w:r>
        <w:t>Die Vorinstanz hat zu Recht - auch auf Empfehlung des RAD, der das polydisziplinäre Gutachten als beweiskräftig erachtete (act. 385) - auf diese nachvollziehbare Angabe des SMAB Bern abgestellt. Aufgrund der (per 12. Oktober 2012 mit überwiegender Wahrscheinlichkeit ausgewiesenen) mittelgradigen Demenz, die eine Betätigung am Arbeitsmarkt verunmöglicht, steht dem Versicherten mit Wirkung ab 1. Januar 2013 eine ganze Invalidenrente zu (vgl. Art. 88a Abs. 2 IVV).</w:t>
      </w:r>
    </w:p>
    <w:p>
      <w:r>
        <w:rPr>
          <w:b/>
        </w:rPr>
        <w:t>E. 5.5</w:t>
      </w:r>
    </w:p>
    <w:p>
      <w:r>
        <w:t>Für die Zeit vor dem 12. Oktober 2012 ist die Situation gemäss dem polydisziplinären Gutachten des SMAB Bern unklar: Es könne allenfalls geschätzt werden, dass unter der Annahme einer im Vordergrund stehenden Depression in dieser Zeit die Arbeitsfähigkeit bei etwa 50 % gelegen haben könnte (ab 2009). Genauere Angaben hierzu seien nicht möglich (act. 372, Seite 29). Aufgrund des schleichenden Krankheitsverlaufs, in dem eine Depression in eine Demenz mündete, ist ohne Weiteres davon auszugehen, dass der Beschwerdeführer schon vor dem 12. Oktober 2012 in seinem Leistungsvermögen erheblich beeinträchtigt war (vgl. zur Anamnese, die im Gutachten nachvollziehbar geschildert wird, die Sachverhaltserwägung C.b). Darauf deutet auch die Formulierung im Gutachten hin, wonach «spätestens ab diesem Zeitpunkt keine Arbeitsfähigkeit mehr bei dem Versicherten anzunehmen» sei (act. 372, Seite 29). Dass 2018 retrospektiv zur Arbeitsfähigkeit von 2009 bis 2012 nur eine ungefähre Schätzung abgegeben werden konnte, liegt in der Natur der Sache bzw. im schleichenden Verlauf der Demenzerkrankung begründet und schmälert die Beweiskraft des polydisziplinären Gutachtens nicht. Mithin ist auf die nachvollziehbare Schätzung des SMAB Bern abzustellen.</w:t>
      </w:r>
    </w:p>
    <w:p>
      <w:r>
        <w:rPr>
          <w:b/>
        </w:rPr>
        <w:t>E. 5.6</w:t>
      </w:r>
    </w:p>
    <w:p>
      <w:r>
        <w:t>Eine anhaltende volle Arbeitsunfähigkeit im Zeitraum vor dem 12. Oktober 2012 ist in den Akten nach wie vor nicht nachvollziehbar dokumentiert. Schon die frühere Rentenverfügung vom 21. August 2013 (act. 129, 132) wurde vom Bundesverwaltungsgericht mit dem rechtskräftigen Urteil C-5352/2013 vom 7. September 2015 (act. 183) aufgehoben, weil es die vorinstanzliche Annahme einer vollen Arbeits- und Erwerbsunfähigkeit ab 1. Dezember 2005 nicht mit dem erforderlichen Beweisgrad der überwiegenden Wahrscheinlichkeit nachvollziehen konnte. Weder der Austrittsbericht der Rehaklinik G._______ vom 21. März 2005, noch das Gutachten des Klinikums F._______ vom 31. März 2007, noch irgendein anderes Dokument vermögen den entsprechenden Nachweis zu erbringen (Bact. 1, Beilage 4, 6). Sodann trifft es nicht zu, das im Austrittsbericht der Rehaklinik G._______ oder im Gutachten des Klinikums F._______ festgestellt wurde, dass die demenzielle Entwicklung bereits damals kräftig eingesetzt habe. Im Gutachten des Klinikums F._______ wurde das diffuse, neurologische und orthopädische Einschränkungsbild im Rahmen einer depressiven Entwicklung mit ausgeprägter Verdeutlichungstendenz und Symptomausweitung gedeutet. Es wurde nicht eine kräftige demenzielle Entwicklung diagnostiziert, sondern der Verdacht auf eine mittelgradige depressive Störung (Bact. 1, Beilage 4, Seite 12, 24).</w:t>
      </w:r>
    </w:p>
    <w:p>
      <w:r>
        <w:rPr>
          <w:b/>
        </w:rPr>
        <w:t>E. 5.7</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(BGE 115 V 44 E. 2b; BGE 117 V 264 E. 3b). Dies bedeutet, dass für rechtserzeugende oder anspruchsbegründende Tatsachen diejenige Person die Folgen der Beweislosigkeit trägt, die das Recht geltend macht. Dies ist im IV-Verfahren in der Regel die versicherte Person. Ergibt die Beweiswürdigung wie im vorliegenden Fall, dass eine weitergehende Einschränkung der Arbeitsfähigkeit von mehr als 50 % nicht ausgewiesen ist, hat die versicherte Person, welche einen Rentenanspruch geltend gemacht hat, die Folgen der Beweislosigkeit zu tragen (vgl. URS MÜLLER, Das Verwaltungsverfahren in der Invalidenversicherung, Bern 2010, S. 292, Rz. 1536 ff.). Die Beweisschwierigkeiten hinsichtlich der Arbeitsunfähigkeit, die sich aus dem schleichenden Krankheitsverlauf ergeben, bei dem eine Depression schliesslich in eine Demenz mündete, gehen mithin zu Lasten des Versicherten und nicht der Vorinstanz. Zu ergänzen ist, dass die gutachterlich geschätzte Arbeitsfähigkeit von 50 % wegen der Depression, die ab 2009 bis (am 12. Oktober) 2012 mutmasslich noch im Vordergrund stand, von der Vorinstanz vollumfänglich anerkannt wurde.</w:t>
      </w:r>
    </w:p>
    <w:p>
      <w:r>
        <w:rPr>
          <w:b/>
        </w:rPr>
        <w:t>E. 5.8</w:t>
      </w:r>
    </w:p>
    <w:p>
      <w:r>
        <w:t>Damit ist die angefochtene Verfügung auch mit Blick auf den Zeitraum vom 1. Dezember 2010 bis 31. Dezember 2012, für den eine halbe Invalidenrente gewährt wurde (act. 394), nicht zu beanstanden. Der Beschwerdeführer macht im Übrigen seinerseits nicht explizit geltend, dass ihm in diesem Zeitraum eine höhere Invalidenrente zustehen würde.</w:t>
      </w:r>
    </w:p>
    <w:p>
      <w:r>
        <w:rPr>
          <w:b/>
        </w:rPr>
        <w:t>E. 5.9</w:t>
      </w:r>
    </w:p>
    <w:p>
      <w:r>
        <w:t>Eine weitere Abklärung, wie sie der Beschwerdeführer mit einer «Oberexpertise» eventualiter beantragt (Bact. 12, Seite 3), erübrigt sich in Anbetracht des beweiskräftigen polydisziplinären Gutachtens des SMAB Bern vom 7. Mai 2018. Auch der RAD-Chefarzt Psychiatrie sprach sich in seiner Stellungnahme vom 12. März 2019 mit nachvollziehbarer Begründung gegen ein Obergutachten aus (Bact. 9, Beilage). Es ist nicht anzunehmen, dass 2020 oder 2021 retrospektiv genauere Angaben zur Arbeitsfähigkeit von 2009 bis 2012 zu erlangen sind als die vorhandenen aus 2018. Wenn die von Amtes wegen vorzunehmenden Abklärungen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FRITZ GYGI, a.a.O., S. 274; vgl. auch BGE 122 II 464 E. 4a, BGE 122 III 219 E. 3c, BGE 120 1b 224 E. 2b, BGE 119 V 335 E. 3c mit Hinweisen).</w:t>
      </w:r>
    </w:p>
    <w:p>
      <w:r>
        <w:rPr>
          <w:b/>
        </w:rPr>
        <w:t>E. 6</w:t>
      </w:r>
    </w:p>
    <w:p>
      <w:r>
        <w:t>Zusammenfassend ist festzuhalten, dass sich die Beschwerde als unbegründet erweist, weshalb sie abgewiesen wird. Die angefochtene Verfügung ist nicht zu beanstanden. Soweit dem Beschwerdeführer für den Zeitraum vom 1. Dezember 2010 bis zum 31. Dezember 2012 eine ganze Invalidenrente ausgerichtet wurde, liegt ein unrechtmässiger Leistungsbezug vor (act. 171).</w:t>
      </w:r>
    </w:p>
    <w:p>
      <w:r>
        <w:rPr>
          <w:b/>
        </w:rPr>
        <w:t>E. 7.1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dem unterliegenden Beschwerdeführer aufzuerlegen. Der einbezahlte Kostenvorschuss von Fr. 800.- ist zur Bezahlung der Verfahrenskosten zu verwenden.</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