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C-249/2007 vom 4. April 2008</w:t>
      </w:r>
    </w:p>
    <w:p>
      <w:r>
        <w:t>Bundesverwaltungsgericht, 2008-04-04, DE</w:t>
      </w:r>
    </w:p>
    <w:p>
      <w:r>
        <w:rPr>
          <w:b/>
        </w:rPr>
        <w:t xml:space="preserve">Quelle: </w:t>
      </w:r>
      <w:r>
        <w:t>https://mcp.opencaselaw.ch/entscheid/bvger_C-249_2007</w:t>
      </w:r>
    </w:p>
    <w:p>
      <w:r>
        <w:t>FR: TAF C-249/2007 du 4 avril 2008</w:t>
      </w:r>
    </w:p>
    <w:p>
      <w:r>
        <w:t>IT: TAF C-249/2007 del 4 aprile 2008</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Dazu gehören die Verfügungen der Aufsichtsbehörden im Bereich der beruflichen Vorsorge nach Art. 74 Abs. 1 des Bundesgesetzes vom 25. Juni 1982 über die berufliche Alters-, Hinterlassenen- und Invalidenvorsorge (BVG, SR 831.40), dies in Verbindung mit Art. 33 lit. i VGG. Eine Ausnahme im Sinne von Art. 32 VVG liegt in casu nicht vor.</w:t>
      </w:r>
    </w:p>
    <w:p>
      <w:r>
        <w:rPr>
          <w:b/>
        </w:rPr>
        <w:t>E. 1.2</w:t>
      </w:r>
    </w:p>
    <w:p>
      <w:r>
        <w:t>Anfechtungsgegenstand des vorliegenden Verfahrens ist die Verfügung der Vorinstanz vom 7. Dezember 2006, welche ohne Zweifel eine Verfügung im Sinne von Art. 5 VwVG darstellt. Die Beschwerde ist frist- und formgerecht eingegangen (Art. 50 und 52 VwVG). Die Beschwerdeführerin ist als Adressatin durch die angefochtene Verfügung besonders berührt und hat an deren Änderung oder Aufhebung ein schutzwürdiges Interesse (Art. 48 Abs. 1 VwVG). Auch der verlangte Kostenvorschuss ist eingezahlt worden.</w:t>
      </w:r>
    </w:p>
    <w:p>
      <w:r>
        <w:rPr>
          <w:b/>
        </w:rPr>
        <w:t>E. 1.3</w:t>
      </w:r>
    </w:p>
    <w:p>
      <w:r>
        <w:t>Die Vorinstanz hat gemäss Art. 58 VwVG die angefochtene Verfügung am 17. Januar 2008 in Wiedererwägung gezogen und aufgehoben. Damit ist der Anfechtungsgegenstand und folglich auch das Rechtsschutzinteresse an der Entscheidung der Streitsache dahingefallen; die Beschwerde ist mithin gegenstandslos geworden. (Fritz Gygi, Bundesverwaltungsrechtspflege, Bern 1983, S. 326). In diesem Zusammenhang ist darauf hinzuweisen, dass auf den Antrag der Beschwerdeführerin, es sei ungeachtet der Aufhebung der angefochtenen Verfügung über ihren Prozessantrag auf umfassende Akteneinsicht bei der Vorinstanz zu entscheiden (vgl. Triplik), im vorliegenden Verfahren nicht eingetreten werden kann, da diese Frage nicht Gegenstand der angefochtenen Verfügung bildet. Infolge der Gegenstandslosigkeit der Beschwerde ist das Verfahren durch einzelrichterlichen Entscheid abzuschreiben (Art. 23 Abs. 1 Bst. a des Verwaltungsgerichtsgesetzes [VGG, SR 173.32]).</w:t>
      </w:r>
    </w:p>
    <w:p>
      <w:r>
        <w:rPr>
          <w:b/>
        </w:rPr>
        <w:t>E. 2.1</w:t>
      </w:r>
    </w:p>
    <w:p>
      <w:r>
        <w:t>Streitig und zu prüfen bleibt einzig die Frage der Kostenregelung für das vorliegende Verfahren.</w:t>
      </w:r>
    </w:p>
    <w:p>
      <w:r>
        <w:rPr>
          <w:b/>
        </w:rPr>
        <w:t>E. 2.2</w:t>
      </w:r>
    </w:p>
    <w:p>
      <w:r>
        <w:t>Nach der bundesgerichtlichen Rechtsprechung ist bei Gegenstandslosigkeit des Rechtsstreits mit summarischer Begründung über die Prozesskosten aufgrund der Sachlage vor Eintritt des Erledigungsgrundes zu entscheiden (Art. 71 des Bundesgerichtsgesetzes vom 17. Juni 2005 [BGG, SR 173.110] i.V.m. Art. 72 des Bundesgesetzes vom 4. Dezember 1947 über den Bundeszivilprozess [BZP, SR 273]). Bei der Beurteilung der Kosten- und Entschädigungsfolgen ist in erster Linie auf den mutmasslichen Ausgang des Prozesses abzustellen. Lässt sich der mutmassliche Ausgang eines Verfahrens im konkreten Fall nicht ohne weiteres feststellen, ist auf allgemeine zivilprozessrechtliche Kriterien zurückzugreifen. Danach wird in erster Linie jene Partei Kosten- und entschädigungspflichtig, die das gegenstandlos gewordene Verfahren veranlasst oder bei der Gründe eingetreten sind, die zur Gegenstandslosigkeit des Verfahrens geführt haben (Urteil des Bundesgerichts 9C_766/2007 vom 3. Januar 2008, mit Hinweisen).</w:t>
      </w:r>
    </w:p>
    <w:p>
      <w:r>
        <w:rPr>
          <w:b/>
        </w:rPr>
        <w:t>E. 2.3</w:t>
      </w:r>
    </w:p>
    <w:p>
      <w:r>
        <w:t>Somit ist zu prüfen, wie das Verfahren aufgrund der Sachlage, wie sie sich vor dem Eintritt des Erledigungsgrundes, d.h. vor dem Erlass der Wiedererwägungsverfügung vom 17. Januar 2008 darstellte, mutmasslich ausgegangen wäre.</w:t>
      </w:r>
    </w:p>
    <w:p>
      <w:r>
        <w:rPr>
          <w:b/>
        </w:rPr>
        <w:t>E. 3.1</w:t>
      </w:r>
    </w:p>
    <w:p>
      <w:r>
        <w:t>Gemäss Art. 62 Abs. 1 BVG, welcher aufgrund von Art. 89bis Abs. 6 Ziff. 12 des Schweizerischen Zivilgesetzbuchs vom 10. Dezember 1907 (ZGB, SR 210) im vorliegenden Fall Anwendung findet, wacht die Aufsichtsbehörde darüber, dass die Vorsorgeeinrichtung sowie die Einrichtung, die nach ihrem Zweck der beruflichen Vorsorge dient, die gesetzlichen Vorschriften einhält,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3.2</w:t>
      </w:r>
    </w:p>
    <w:p>
      <w:r>
        <w:t>Die Vorinstanz bezweckte mit der angefochtenen Verfügung, sich nähren Aufschluss über die Geschäftstätigkeit der Beschwerdeführerin zu verschaffen. Anlass dazu habe insoweit bestanden, als sich bei ihr verschiedene Versicherte aufsichtsrechtlich über die Beschwerdeführerin beschwert und dabei sinngemäss geltend gemacht hätten, die Verwaltungskostenstrukturen seien überhöht und die Information sei mangelhaft. Das Vorliegen von entsprechenden Beschwerden stellt sodann auch die Beschwerdeführerin selbst grundsätzlich nicht in Abrede. Wie weiter aus den Akten ersichtlich ist (act. 13/29) und auch die Vorinstanz in ihrer Vernehmlassung geltend macht, hat die Kontrollstelle im Rahmen ihrer Prüfung der Jahresberichterstattung 2005 Bemerkungen angebracht. So hat sie zur Konformität der von der Beschwerdeführerin mit Dritten abgeschlossenen Verträgen betreffend Dienstleistungen und die Konditionen, namentlich die anfallenden Gebühren und Kosten, denn auch festgehalten, dass eine objektive Beurteilung nicht möglich sei (act. 13/29; Fragebogen der Vorinstanz zur Berichterstattung des Geschäftsjahres 2005, Punkte 4.8 und 4.9 ). Für die Vorinstanz habe auch diese Bemerkung Anlass gegeben, die Geschäftsführung der Beschwerdeführerin zu überprüfen.</w:t>
      </w:r>
    </w:p>
    <w:p>
      <w:r>
        <w:rPr>
          <w:b/>
        </w:rPr>
        <w:t>E. 3.3</w:t>
      </w:r>
    </w:p>
    <w:p>
      <w:r>
        <w:t>Wie bereits ausgeführt wurde (vgl. E. 3.1 hiervor) trifft die Aufsichtsbehörde die Massnahmen zur Behebung von Mängeln. Hierzu stehen ihr präventive und repressive Aufsichtsmittel zur Verfügung. Mittels des repressiven Handelns soll der rechtmässige Zustand wieder hergestellt werden, während die präventiven Mittel darauf ausgelegt sind, gesetzes- und statutenwidriges Verhalten der Vorsorgeeinrichtung durch eine laufende Kontrolle ihrer Geschäftstätigkeit zu verhindern (Isabelle Vetter-Schreiber, Staatliche Haftung bei mangelhafter BVG-Aufsichtstätigkeit, Zürich 1996, S. 61 f.; Hans Michael Riemer / Gabriela Riemer-Kafka, a.a.O., S. 65 f.). Das umfassende Einsichts- und Informationsrecht der Aufsichtsbehörde stellt gemäss Art. 62 Abs. 1 Bst. c BVG ein geeignetes präventives Aufsichtsmittel dar (Isabelle Vetter-Schreiber, a.a.O. , S. 63 mit Hinweisen; BGE 124 IV 211 E. 2 f). Es findet sein Korrelat in der Berichterstattungspflicht der Vorsorgeeinrichtung, welche auch die Geschäftstätigkeit umfasst (Art. 62 Abs. 1 Bst. b BVG). Zur weiteren Pflicht der Vorsorgeeinrichtung gehört auch, die Verwaltungskosten in der Betriebsrechnung auszuweisen ( Art. 65 Abs. 3 BVG) und Informationen über die Verwaltungskosten zu erteilen (Art. 65a Abs. 3 BVG).</w:t>
      </w:r>
    </w:p>
    <w:p>
      <w:r>
        <w:rPr>
          <w:b/>
        </w:rPr>
        <w:t>E. 3.4</w:t>
      </w:r>
    </w:p>
    <w:p>
      <w:r>
        <w:t>Wie sich aus den Akten ergibt, hatte die Vorinstanz somit genügend Anlass, sich über die Struktur der Verwaltungskosten und die Geschäftsführung näheren Aufschluss zu erhalten. Dabei war sie allein auf die Mitwirkung der Beschwerdeführerin angewiesen. Letztere ist ihren Pflichten indes nicht nachgekommen. Unter diesem Blickwinkel ist die von der Vorinstanz angeordnete Akteneinsicht vor Ort zweifellos eine zulässige und verhältnismässige Aufsichtsmassnahme, mit welcher sie ihr Ermessen nicht missbraucht hat. In keinem Sachzusammenhang mit dieser Aufsichtsmassnahme, und darum nicht weiter zu prüfen, steht demgegenüber der Einwand der Beschwerdeführerin, die Vorinstanz habe ihr keine Akteneinsicht in die hängigen Aufsichtsbeschwerden gewährt.</w:t>
      </w:r>
    </w:p>
    <w:p>
      <w:r>
        <w:rPr>
          <w:b/>
        </w:rPr>
        <w:t>E. 3.5</w:t>
      </w:r>
    </w:p>
    <w:p>
      <w:r>
        <w:t>Die Beschwerdeführerin macht geltend, die verfügte Akteneinsicht vor Ort habe sich als unnötig herausgestellt, nachdem sowohl die Kontrollstelle mit Schreiben vom 3. Oktober 2007 (act. 13/31) wie später auch die Vorinstanz in ihrer Wiedererwägungsverfügung vom 17. Januar 2008 (act. 17) selbst bestätigt hätten, dass die Geschäftsführung der Beschwerdeführerin, zumindest ab dem 1. Januar 2006, einwandfrei gewesen sei. Somit habe nie Anlass zu aufsichtsrechtlichem Einschreiten bestanden. Wohl geht aus dem besagten Schreiben der Kontrollstelle hervor, dass in Bezug auf die Verwaltungskosten die Konditionen der Beschwerdeführerin dem Grundsatz der Angemessenheit entsprächen. Immerhin begründet die Kontrollstelle dies dahingehend, dass sich in der Zwischenzeit die Voraussetzungen geändert hätten. So habe die Beschwerdeführerin ihr Kostenreglement angepasst. Zudem habe der Stiftungsrat die Konditionen intensiv behandelt (S. 2 in fine). Damit ist aber auch ersichtlich, dass der Widerruf der angefochtenen Verfügung aufgrund neuer Tatsachen und durch Zutun der Beschwerdeführerin und nicht etwa durch eine fehlerhafte Verfügung erfolgte, wie die Beschwerdeführerin geltend macht.</w:t>
      </w:r>
    </w:p>
    <w:p>
      <w:r>
        <w:rPr>
          <w:b/>
        </w:rPr>
        <w:t>E. 3.6</w:t>
      </w:r>
    </w:p>
    <w:p>
      <w:r>
        <w:t>Nach dem Gesagten lässt sich unter den im genannten massgebenden Zeitpunkt gegebenen Umständen (vgl. E 2.3) und im Rahmen einer summarischen Prüfung die von der Vorinstanz mit der angefochtenen Verfügung angeordnete Massnahme nicht beanstanden. Somit wäre bei Weiterführung des Verfahrens mit einer Abweisung der Beschwerde zu rechnen gewesen. Da der mutmassliche Ausgang des Verfahrens sich somit hinreichend feststellen lässt, erübrigt sich, für die Auferlegung der Prozesskosten auf zivilprozessrechliche Kriterien zurückzugreifen (E. 2.2).</w:t>
      </w:r>
    </w:p>
    <w:p>
      <w:r>
        <w:rPr>
          <w:b/>
        </w:rPr>
        <w:t>E. 4.1</w:t>
      </w:r>
    </w:p>
    <w:p>
      <w:r>
        <w:t>Bei diesem Ausgang des Verfahrens wird auf die Auferlegung von Verfahrenskosten verzichtet (Art. 6 Bst. a VGKE). Der Beschwerdeführerin ist somit der geleistete Kostenvorschuss zurückzuerstatten.</w:t>
      </w:r>
    </w:p>
    <w:p>
      <w:r>
        <w:rPr>
          <w:b/>
        </w:rPr>
        <w:t>E. 4.2</w:t>
      </w:r>
    </w:p>
    <w:p>
      <w:r>
        <w:t>Da die Beschwerdeführerin mit einer Abweisung ihrer Beschwerde zu rechnen hatte, kann ihr im vorliegenden Verfahren keine Parteientschädigung zugesprochen werden (Art. 64 Abs. 1 VwVG e contrario). Die Vorinstanz hat als 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